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2011" w:rsidP="00202011" w:rsidRDefault="00202011" w14:paraId="27B1C315" w14:textId="77777777">
      <w:pPr>
        <w:jc w:val="center"/>
        <w:rPr>
          <w:sz w:val="22"/>
        </w:rPr>
      </w:pPr>
      <w:r>
        <w:rPr>
          <w:rFonts w:ascii="Seaford" w:hAnsi="Seaford" w:eastAsia="Seaford" w:cs="Seaford"/>
          <w:color w:val="000000" w:themeColor="text1"/>
          <w:highlight w:val="yellow"/>
        </w:rPr>
        <w:t xml:space="preserve">TEMPLATE LETTER – Please place on hospital letterhead and add hospital-specific details </w:t>
      </w:r>
    </w:p>
    <w:p w:rsidR="00202011" w:rsidP="004D3190" w:rsidRDefault="00202011" w14:paraId="13F1F129" w14:textId="3980C126">
      <w:pPr>
        <w:rPr>
          <w:rFonts w:ascii="Seaford" w:hAnsi="Seaford" w:eastAsia="Seaford" w:cs="Seaford"/>
          <w:sz w:val="22"/>
          <w:szCs w:val="22"/>
        </w:rPr>
      </w:pPr>
    </w:p>
    <w:p w:rsidR="00202011" w:rsidP="004D3190" w:rsidRDefault="00202011" w14:paraId="1B7E9FCE" w14:textId="63C562DF">
      <w:pPr>
        <w:rPr>
          <w:rFonts w:ascii="Seaford" w:hAnsi="Seaford" w:eastAsia="Seaford" w:cs="Seaford"/>
          <w:sz w:val="22"/>
          <w:szCs w:val="22"/>
        </w:rPr>
      </w:pPr>
    </w:p>
    <w:p w:rsidR="00F272F6" w:rsidP="004D3190" w:rsidRDefault="00F272F6" w14:paraId="0185AB35" w14:textId="77777777">
      <w:pPr>
        <w:rPr>
          <w:rFonts w:ascii="Seaford" w:hAnsi="Seaford" w:eastAsia="Seaford" w:cs="Seaford"/>
          <w:sz w:val="22"/>
          <w:szCs w:val="22"/>
          <w:highlight w:val="yellow"/>
        </w:rPr>
      </w:pPr>
    </w:p>
    <w:p w:rsidR="00202011" w:rsidP="004D3190" w:rsidRDefault="00202011" w14:paraId="266EF854" w14:textId="7876D2E6">
      <w:pPr>
        <w:rPr>
          <w:rFonts w:ascii="Seaford" w:hAnsi="Seaford" w:eastAsia="Seaford" w:cs="Seaford"/>
          <w:sz w:val="22"/>
          <w:szCs w:val="22"/>
        </w:rPr>
      </w:pPr>
      <w:r w:rsidRPr="00202011">
        <w:rPr>
          <w:rFonts w:ascii="Seaford" w:hAnsi="Seaford" w:eastAsia="Seaford" w:cs="Seaford"/>
          <w:sz w:val="22"/>
          <w:szCs w:val="22"/>
          <w:highlight w:val="yellow"/>
        </w:rPr>
        <w:t>DATE</w:t>
      </w:r>
    </w:p>
    <w:p w:rsidR="00202011" w:rsidP="004D3190" w:rsidRDefault="00202011" w14:paraId="5276CFBD" w14:textId="77777777">
      <w:pPr>
        <w:rPr>
          <w:rFonts w:ascii="Seaford" w:hAnsi="Seaford" w:eastAsia="Seaford" w:cs="Seaford"/>
          <w:sz w:val="22"/>
          <w:szCs w:val="22"/>
        </w:rPr>
      </w:pPr>
    </w:p>
    <w:p w:rsidR="00190DAE" w:rsidP="00190DAE" w:rsidRDefault="00190DAE" w14:paraId="2940466C" w14:textId="77777777">
      <w:pPr>
        <w:pStyle w:val="paragraph"/>
        <w:spacing w:before="0" w:beforeAutospacing="0" w:after="0" w:afterAutospacing="0"/>
        <w:textAlignment w:val="baseline"/>
        <w:rPr>
          <w:rFonts w:ascii="Segoe UI" w:hAnsi="Segoe UI" w:cs="Segoe UI"/>
          <w:sz w:val="18"/>
          <w:szCs w:val="18"/>
        </w:rPr>
      </w:pPr>
      <w:r>
        <w:rPr>
          <w:rStyle w:val="normaltextrun"/>
          <w:rFonts w:ascii="Seaford" w:hAnsi="Seaford" w:cs="Segoe UI"/>
          <w:sz w:val="22"/>
          <w:szCs w:val="22"/>
        </w:rPr>
        <w:t>The Honorable Susan Talamantes Eggman </w:t>
      </w:r>
      <w:r>
        <w:rPr>
          <w:rStyle w:val="eop"/>
          <w:rFonts w:ascii="Seaford" w:hAnsi="Seaford" w:cs="Segoe UI"/>
          <w:sz w:val="22"/>
          <w:szCs w:val="22"/>
        </w:rPr>
        <w:t> </w:t>
      </w:r>
    </w:p>
    <w:p w:rsidR="00562165" w:rsidP="00190DAE" w:rsidRDefault="00190DAE" w14:paraId="74B43F80" w14:textId="77777777">
      <w:pPr>
        <w:pStyle w:val="paragraph"/>
        <w:spacing w:before="0" w:beforeAutospacing="0" w:after="0" w:afterAutospacing="0"/>
        <w:textAlignment w:val="baseline"/>
        <w:rPr>
          <w:rStyle w:val="normaltextrun"/>
          <w:rFonts w:ascii="Seaford" w:hAnsi="Seaford" w:cs="Segoe UI"/>
          <w:sz w:val="22"/>
          <w:szCs w:val="22"/>
        </w:rPr>
      </w:pPr>
      <w:r>
        <w:rPr>
          <w:rStyle w:val="normaltextrun"/>
          <w:rFonts w:ascii="Seaford" w:hAnsi="Seaford" w:cs="Segoe UI"/>
          <w:sz w:val="22"/>
          <w:szCs w:val="22"/>
        </w:rPr>
        <w:t xml:space="preserve">Chair, Senate Budget and Fiscal Review Committee, Subcommittee No. 3 </w:t>
      </w:r>
    </w:p>
    <w:p w:rsidR="00190DAE" w:rsidP="00190DAE" w:rsidRDefault="00190DAE" w14:paraId="21DA6072" w14:textId="1BA3C473">
      <w:pPr>
        <w:pStyle w:val="paragraph"/>
        <w:spacing w:before="0" w:beforeAutospacing="0" w:after="0" w:afterAutospacing="0"/>
        <w:textAlignment w:val="baseline"/>
        <w:rPr>
          <w:rFonts w:ascii="Segoe UI" w:hAnsi="Segoe UI" w:cs="Segoe UI"/>
          <w:sz w:val="18"/>
          <w:szCs w:val="18"/>
        </w:rPr>
      </w:pPr>
      <w:r>
        <w:rPr>
          <w:rStyle w:val="normaltextrun"/>
          <w:rFonts w:ascii="Seaford" w:hAnsi="Seaford" w:cs="Segoe UI"/>
          <w:sz w:val="22"/>
          <w:szCs w:val="22"/>
        </w:rPr>
        <w:t>on Health and Human Services</w:t>
      </w:r>
      <w:r>
        <w:rPr>
          <w:rStyle w:val="eop"/>
          <w:rFonts w:ascii="Seaford" w:hAnsi="Seaford" w:cs="Segoe UI"/>
          <w:sz w:val="22"/>
          <w:szCs w:val="22"/>
        </w:rPr>
        <w:t> </w:t>
      </w:r>
    </w:p>
    <w:p w:rsidR="00190DAE" w:rsidP="00190DAE" w:rsidRDefault="00190DAE" w14:paraId="51B2CCA1" w14:textId="77777777">
      <w:pPr>
        <w:pStyle w:val="paragraph"/>
        <w:spacing w:before="0" w:beforeAutospacing="0" w:after="0" w:afterAutospacing="0"/>
        <w:textAlignment w:val="baseline"/>
        <w:rPr>
          <w:rFonts w:ascii="Segoe UI" w:hAnsi="Segoe UI" w:cs="Segoe UI"/>
          <w:sz w:val="18"/>
          <w:szCs w:val="18"/>
        </w:rPr>
      </w:pPr>
      <w:r>
        <w:rPr>
          <w:rStyle w:val="normaltextrun"/>
          <w:rFonts w:ascii="Seaford" w:hAnsi="Seaford" w:cs="Segoe UI"/>
          <w:sz w:val="22"/>
          <w:szCs w:val="22"/>
        </w:rPr>
        <w:t>1021 O St., Suite 8530 </w:t>
      </w:r>
      <w:r>
        <w:rPr>
          <w:rStyle w:val="eop"/>
          <w:rFonts w:ascii="Seaford" w:hAnsi="Seaford" w:cs="Segoe UI"/>
          <w:sz w:val="22"/>
          <w:szCs w:val="22"/>
        </w:rPr>
        <w:t> </w:t>
      </w:r>
    </w:p>
    <w:p w:rsidR="00190DAE" w:rsidP="00190DAE" w:rsidRDefault="00190DAE" w14:paraId="536126D0" w14:textId="77777777">
      <w:pPr>
        <w:pStyle w:val="paragraph"/>
        <w:spacing w:before="0" w:beforeAutospacing="0" w:after="0" w:afterAutospacing="0"/>
        <w:textAlignment w:val="baseline"/>
        <w:rPr>
          <w:rFonts w:ascii="Segoe UI" w:hAnsi="Segoe UI" w:cs="Segoe UI"/>
          <w:sz w:val="18"/>
          <w:szCs w:val="18"/>
        </w:rPr>
      </w:pPr>
      <w:r>
        <w:rPr>
          <w:rStyle w:val="normaltextrun"/>
          <w:rFonts w:ascii="Seaford" w:hAnsi="Seaford" w:cs="Segoe UI"/>
          <w:sz w:val="22"/>
          <w:szCs w:val="22"/>
        </w:rPr>
        <w:t>Sacramento, CA 95814 </w:t>
      </w:r>
      <w:r>
        <w:rPr>
          <w:rStyle w:val="eop"/>
          <w:rFonts w:ascii="Seaford" w:hAnsi="Seaford" w:cs="Segoe UI"/>
          <w:sz w:val="22"/>
          <w:szCs w:val="22"/>
        </w:rPr>
        <w:t> </w:t>
      </w:r>
    </w:p>
    <w:p w:rsidRPr="005D24FE" w:rsidR="004D3190" w:rsidP="002F3F99" w:rsidRDefault="004D3190" w14:paraId="4FAA59E5" w14:textId="18AAF7F4">
      <w:pPr>
        <w:jc w:val="center"/>
        <w:rPr>
          <w:rFonts w:ascii="Seaford" w:hAnsi="Seaford" w:eastAsia="Seaford" w:cs="Seaford"/>
          <w:sz w:val="22"/>
          <w:szCs w:val="22"/>
        </w:rPr>
      </w:pPr>
    </w:p>
    <w:p w:rsidR="0066234F" w:rsidP="004D3190" w:rsidRDefault="004D3190" w14:paraId="38F085EC" w14:textId="58A453CA">
      <w:pPr>
        <w:ind w:left="1440" w:hanging="1440"/>
        <w:rPr>
          <w:rFonts w:ascii="Seaford" w:hAnsi="Seaford" w:eastAsia="Seaford" w:cs="Seaford"/>
          <w:b/>
          <w:bCs/>
          <w:sz w:val="22"/>
          <w:szCs w:val="22"/>
        </w:rPr>
      </w:pPr>
      <w:r w:rsidRPr="005D24FE">
        <w:rPr>
          <w:rFonts w:ascii="Seaford" w:hAnsi="Seaford" w:eastAsia="Seaford" w:cs="Seaford"/>
          <w:b/>
          <w:bCs/>
          <w:sz w:val="22"/>
          <w:szCs w:val="22"/>
        </w:rPr>
        <w:t>S</w:t>
      </w:r>
      <w:r w:rsidR="00F272F6">
        <w:rPr>
          <w:rFonts w:ascii="Seaford" w:hAnsi="Seaford" w:eastAsia="Seaford" w:cs="Seaford"/>
          <w:b/>
          <w:bCs/>
          <w:sz w:val="22"/>
          <w:szCs w:val="22"/>
        </w:rPr>
        <w:t>UBJECT</w:t>
      </w:r>
      <w:r w:rsidRPr="005D24FE">
        <w:rPr>
          <w:rFonts w:ascii="Seaford" w:hAnsi="Seaford" w:eastAsia="Seaford" w:cs="Seaford"/>
          <w:b/>
          <w:bCs/>
          <w:sz w:val="22"/>
          <w:szCs w:val="22"/>
        </w:rPr>
        <w:t xml:space="preserve">: </w:t>
      </w:r>
      <w:r w:rsidR="0066234F">
        <w:rPr>
          <w:rFonts w:ascii="Seaford" w:hAnsi="Seaford"/>
          <w:sz w:val="22"/>
          <w:szCs w:val="22"/>
        </w:rPr>
        <w:t xml:space="preserve"> </w:t>
      </w:r>
      <w:r w:rsidR="0066234F">
        <w:rPr>
          <w:rFonts w:ascii="Seaford" w:hAnsi="Seaford"/>
          <w:sz w:val="22"/>
          <w:szCs w:val="22"/>
        </w:rPr>
        <w:tab/>
      </w:r>
      <w:r w:rsidRPr="005D24FE">
        <w:rPr>
          <w:rFonts w:ascii="Seaford" w:hAnsi="Seaford" w:eastAsia="Seaford" w:cs="Seaford"/>
          <w:b/>
          <w:bCs/>
          <w:sz w:val="22"/>
          <w:szCs w:val="22"/>
        </w:rPr>
        <w:t xml:space="preserve">Increase </w:t>
      </w:r>
      <w:r w:rsidR="002F3F99">
        <w:rPr>
          <w:rFonts w:ascii="Seaford" w:hAnsi="Seaford" w:eastAsia="Seaford" w:cs="Seaford"/>
          <w:b/>
          <w:bCs/>
          <w:sz w:val="22"/>
          <w:szCs w:val="22"/>
        </w:rPr>
        <w:t>Access to Equitable Health Care</w:t>
      </w:r>
      <w:r w:rsidRPr="005D24FE">
        <w:rPr>
          <w:rFonts w:ascii="Seaford" w:hAnsi="Seaford" w:eastAsia="Seaford" w:cs="Seaford"/>
          <w:b/>
          <w:bCs/>
          <w:sz w:val="22"/>
          <w:szCs w:val="22"/>
        </w:rPr>
        <w:t xml:space="preserve">, </w:t>
      </w:r>
      <w:r w:rsidR="002F3F99">
        <w:rPr>
          <w:rFonts w:ascii="Seaford" w:hAnsi="Seaford" w:eastAsia="Seaford" w:cs="Seaford"/>
          <w:b/>
          <w:bCs/>
          <w:sz w:val="22"/>
          <w:szCs w:val="22"/>
        </w:rPr>
        <w:t xml:space="preserve">Invest in </w:t>
      </w:r>
      <w:r w:rsidRPr="005D24FE">
        <w:rPr>
          <w:rFonts w:ascii="Seaford" w:hAnsi="Seaford" w:eastAsia="Seaford" w:cs="Seaford"/>
          <w:b/>
          <w:bCs/>
          <w:sz w:val="22"/>
          <w:szCs w:val="22"/>
        </w:rPr>
        <w:t xml:space="preserve">Health Care </w:t>
      </w:r>
    </w:p>
    <w:p w:rsidRPr="005D24FE" w:rsidR="004D3190" w:rsidP="0066234F" w:rsidRDefault="004D3190" w14:paraId="55477BD5" w14:textId="6C66A5B8">
      <w:pPr>
        <w:ind w:left="1440"/>
        <w:rPr>
          <w:rFonts w:ascii="Seaford" w:hAnsi="Seaford" w:eastAsia="Seaford" w:cs="Seaford"/>
          <w:b/>
          <w:bCs/>
          <w:sz w:val="22"/>
          <w:szCs w:val="22"/>
        </w:rPr>
      </w:pPr>
      <w:r w:rsidRPr="005D24FE">
        <w:rPr>
          <w:rFonts w:ascii="Seaford" w:hAnsi="Seaford" w:eastAsia="Seaford" w:cs="Seaford"/>
          <w:b/>
          <w:bCs/>
          <w:sz w:val="22"/>
          <w:szCs w:val="22"/>
        </w:rPr>
        <w:t xml:space="preserve">Workforce — </w:t>
      </w:r>
      <w:r w:rsidRPr="005D24FE">
        <w:rPr>
          <w:rStyle w:val="normaltextrun"/>
          <w:rFonts w:ascii="Seaford" w:hAnsi="Seaford"/>
          <w:b/>
          <w:bCs/>
          <w:sz w:val="22"/>
          <w:szCs w:val="22"/>
          <w:bdr w:val="none" w:color="auto" w:sz="0" w:space="0" w:frame="1"/>
        </w:rPr>
        <w:t>SUPPORT</w:t>
      </w:r>
    </w:p>
    <w:p w:rsidRPr="005D24FE" w:rsidR="004D3190" w:rsidP="004D3190" w:rsidRDefault="004D3190" w14:paraId="32668BD2" w14:textId="77777777">
      <w:pPr>
        <w:ind w:left="1440" w:hanging="1440"/>
        <w:rPr>
          <w:rStyle w:val="normaltextrun"/>
          <w:rFonts w:ascii="Seaford" w:hAnsi="Seaford"/>
          <w:b/>
          <w:bCs/>
          <w:sz w:val="22"/>
          <w:szCs w:val="22"/>
        </w:rPr>
      </w:pPr>
    </w:p>
    <w:p w:rsidRPr="005D24FE" w:rsidR="004D3190" w:rsidP="004D3190" w:rsidRDefault="004D3190" w14:paraId="230ED148" w14:textId="625042B7">
      <w:pPr>
        <w:rPr>
          <w:rFonts w:ascii="Seaford" w:hAnsi="Seaford" w:eastAsia="Seaford" w:cs="Seaford"/>
          <w:sz w:val="22"/>
          <w:szCs w:val="22"/>
        </w:rPr>
      </w:pPr>
      <w:r w:rsidRPr="005D24FE">
        <w:rPr>
          <w:rFonts w:ascii="Seaford" w:hAnsi="Seaford" w:eastAsia="Seaford" w:cs="Seaford"/>
          <w:sz w:val="22"/>
          <w:szCs w:val="22"/>
        </w:rPr>
        <w:t xml:space="preserve">Dear </w:t>
      </w:r>
      <w:r w:rsidR="00190DAE">
        <w:rPr>
          <w:rFonts w:ascii="Seaford" w:hAnsi="Seaford" w:eastAsia="Seaford" w:cs="Seaford"/>
          <w:sz w:val="22"/>
          <w:szCs w:val="22"/>
        </w:rPr>
        <w:t>Senator Eggman</w:t>
      </w:r>
      <w:r w:rsidRPr="005D24FE">
        <w:rPr>
          <w:rFonts w:ascii="Seaford" w:hAnsi="Seaford" w:eastAsia="Seaford" w:cs="Seaford"/>
          <w:sz w:val="22"/>
          <w:szCs w:val="22"/>
        </w:rPr>
        <w:t xml:space="preserve">: </w:t>
      </w:r>
    </w:p>
    <w:p w:rsidRPr="005D24FE" w:rsidR="004D3190" w:rsidP="004D3190" w:rsidRDefault="004D3190" w14:paraId="0A7F7068" w14:textId="77777777">
      <w:pPr>
        <w:tabs>
          <w:tab w:val="num" w:pos="720"/>
        </w:tabs>
        <w:rPr>
          <w:rFonts w:ascii="Seaford" w:hAnsi="Seaford" w:eastAsia="Seaford" w:cs="Seaford"/>
          <w:sz w:val="22"/>
          <w:szCs w:val="22"/>
        </w:rPr>
      </w:pPr>
    </w:p>
    <w:p w:rsidRPr="0066234F" w:rsidR="002F3F99" w:rsidP="002F3F99" w:rsidRDefault="0066234F" w14:paraId="3D53B25B" w14:textId="5A5C361E">
      <w:pPr>
        <w:tabs>
          <w:tab w:val="left" w:pos="3140"/>
        </w:tabs>
        <w:rPr>
          <w:rFonts w:ascii="Seaford" w:hAnsi="Seaford" w:eastAsia="Seaford" w:cs="Seaford"/>
          <w:sz w:val="22"/>
          <w:szCs w:val="22"/>
        </w:rPr>
      </w:pPr>
      <w:bookmarkStart w:name="_Hlk96523911" w:id="0"/>
      <w:r w:rsidRPr="009335C1">
        <w:rPr>
          <w:rFonts w:ascii="Seaford" w:hAnsi="Seaford" w:eastAsia="Seaford" w:cs="Seaford"/>
          <w:sz w:val="22"/>
          <w:szCs w:val="22"/>
          <w:highlight w:val="yellow"/>
        </w:rPr>
        <w:t>HOSPITAL NAME</w:t>
      </w:r>
      <w:r>
        <w:rPr>
          <w:rFonts w:ascii="Seaford" w:hAnsi="Seaford" w:eastAsia="Seaford" w:cs="Seaford"/>
          <w:sz w:val="22"/>
          <w:szCs w:val="22"/>
        </w:rPr>
        <w:t xml:space="preserve"> is</w:t>
      </w:r>
      <w:r w:rsidRPr="00B82960" w:rsidR="002F3F99">
        <w:rPr>
          <w:rFonts w:ascii="Seaford" w:hAnsi="Seaford" w:eastAsia="Seaford" w:cs="Seaford"/>
          <w:sz w:val="22"/>
          <w:szCs w:val="22"/>
        </w:rPr>
        <w:t xml:space="preserve"> pleased to support </w:t>
      </w:r>
      <w:r>
        <w:rPr>
          <w:rFonts w:ascii="Seaford" w:hAnsi="Seaford" w:eastAsia="Seaford" w:cs="Seaford"/>
          <w:sz w:val="22"/>
          <w:szCs w:val="22"/>
        </w:rPr>
        <w:t>three of this year’s critical budget proposals:</w:t>
      </w:r>
      <w:r w:rsidR="00F272F6">
        <w:rPr>
          <w:rFonts w:ascii="Seaford" w:hAnsi="Seaford" w:eastAsia="Seaford" w:cs="Seaford"/>
          <w:sz w:val="22"/>
          <w:szCs w:val="22"/>
        </w:rPr>
        <w:t xml:space="preserve"> </w:t>
      </w:r>
      <w:r w:rsidR="00190DAE">
        <w:rPr>
          <w:rFonts w:ascii="Seaford" w:hAnsi="Seaford" w:eastAsia="Seaford" w:cs="Seaford"/>
          <w:sz w:val="22"/>
          <w:szCs w:val="22"/>
        </w:rPr>
        <w:t xml:space="preserve">the California Hospital Association’s stakeholder proposals to </w:t>
      </w:r>
      <w:r w:rsidRPr="0066234F" w:rsidR="002F3F99">
        <w:rPr>
          <w:rFonts w:ascii="Seaford" w:hAnsi="Seaford" w:eastAsia="Seaford" w:cs="Seaford"/>
          <w:sz w:val="22"/>
          <w:szCs w:val="22"/>
        </w:rPr>
        <w:t>increase</w:t>
      </w:r>
      <w:r w:rsidR="00F272F6">
        <w:rPr>
          <w:rFonts w:ascii="Seaford" w:hAnsi="Seaford" w:eastAsia="Seaford" w:cs="Seaford"/>
          <w:sz w:val="22"/>
          <w:szCs w:val="22"/>
        </w:rPr>
        <w:t xml:space="preserve"> </w:t>
      </w:r>
      <w:r w:rsidRPr="0066234F" w:rsidR="002F3F99">
        <w:rPr>
          <w:rFonts w:ascii="Seaford" w:hAnsi="Seaford" w:eastAsia="Seaford" w:cs="Seaford"/>
          <w:sz w:val="22"/>
          <w:szCs w:val="22"/>
        </w:rPr>
        <w:t>access to equitable health care for Medi-Cal beneficiaries</w:t>
      </w:r>
      <w:r w:rsidR="00F272F6">
        <w:rPr>
          <w:rFonts w:ascii="Seaford" w:hAnsi="Seaford" w:eastAsia="Seaford" w:cs="Seaford"/>
          <w:sz w:val="22"/>
          <w:szCs w:val="22"/>
        </w:rPr>
        <w:t xml:space="preserve"> and </w:t>
      </w:r>
      <w:r w:rsidRPr="0066234F">
        <w:rPr>
          <w:rFonts w:ascii="Seaford" w:hAnsi="Seaford" w:eastAsia="Seaford" w:cs="Seaford"/>
          <w:sz w:val="22"/>
          <w:szCs w:val="22"/>
        </w:rPr>
        <w:t>add</w:t>
      </w:r>
      <w:r w:rsidR="00190DAE">
        <w:rPr>
          <w:rFonts w:ascii="Seaford" w:hAnsi="Seaford" w:eastAsia="Seaford" w:cs="Seaford"/>
          <w:sz w:val="22"/>
          <w:szCs w:val="22"/>
        </w:rPr>
        <w:t xml:space="preserve"> </w:t>
      </w:r>
      <w:r w:rsidRPr="0066234F">
        <w:rPr>
          <w:rFonts w:ascii="Seaford" w:hAnsi="Seaford" w:eastAsia="Seaford" w:cs="Seaford"/>
          <w:sz w:val="22"/>
          <w:szCs w:val="22"/>
        </w:rPr>
        <w:t xml:space="preserve">funding </w:t>
      </w:r>
      <w:r w:rsidR="00F272F6">
        <w:rPr>
          <w:rFonts w:ascii="Seaford" w:hAnsi="Seaford" w:eastAsia="Seaford" w:cs="Seaford"/>
          <w:sz w:val="22"/>
          <w:szCs w:val="22"/>
        </w:rPr>
        <w:t>for</w:t>
      </w:r>
      <w:r w:rsidRPr="0066234F">
        <w:rPr>
          <w:rFonts w:ascii="Seaford" w:hAnsi="Seaford" w:eastAsia="Seaford" w:cs="Seaford"/>
          <w:sz w:val="22"/>
          <w:szCs w:val="22"/>
        </w:rPr>
        <w:t xml:space="preserve"> the state’s graduate medical education </w:t>
      </w:r>
      <w:r w:rsidR="005D0E42">
        <w:rPr>
          <w:rFonts w:ascii="Seaford" w:hAnsi="Seaford" w:eastAsia="Seaford" w:cs="Seaford"/>
          <w:sz w:val="22"/>
          <w:szCs w:val="22"/>
        </w:rPr>
        <w:t xml:space="preserve">(GME) </w:t>
      </w:r>
      <w:r w:rsidRPr="0066234F">
        <w:rPr>
          <w:rFonts w:ascii="Seaford" w:hAnsi="Seaford" w:eastAsia="Seaford" w:cs="Seaford"/>
          <w:sz w:val="22"/>
          <w:szCs w:val="22"/>
        </w:rPr>
        <w:t>program</w:t>
      </w:r>
      <w:r w:rsidR="00190DAE">
        <w:rPr>
          <w:rFonts w:ascii="Seaford" w:hAnsi="Seaford" w:eastAsia="Seaford" w:cs="Seaford"/>
          <w:sz w:val="22"/>
          <w:szCs w:val="22"/>
        </w:rPr>
        <w:t>,</w:t>
      </w:r>
      <w:r w:rsidR="00F272F6">
        <w:rPr>
          <w:rFonts w:ascii="Seaford" w:hAnsi="Seaford" w:eastAsia="Seaford" w:cs="Seaford"/>
          <w:sz w:val="22"/>
          <w:szCs w:val="22"/>
        </w:rPr>
        <w:t xml:space="preserve"> </w:t>
      </w:r>
      <w:r w:rsidRPr="0066234F">
        <w:rPr>
          <w:rFonts w:ascii="Seaford" w:hAnsi="Seaford" w:eastAsia="Seaford" w:cs="Seaford"/>
          <w:sz w:val="22"/>
          <w:szCs w:val="22"/>
        </w:rPr>
        <w:t>and Gov</w:t>
      </w:r>
      <w:r w:rsidR="00190DAE">
        <w:rPr>
          <w:rFonts w:ascii="Seaford" w:hAnsi="Seaford" w:eastAsia="Seaford" w:cs="Seaford"/>
          <w:sz w:val="22"/>
          <w:szCs w:val="22"/>
        </w:rPr>
        <w:t>ernor</w:t>
      </w:r>
      <w:r w:rsidRPr="0066234F">
        <w:rPr>
          <w:rFonts w:ascii="Seaford" w:hAnsi="Seaford" w:eastAsia="Seaford" w:cs="Seaford"/>
          <w:sz w:val="22"/>
          <w:szCs w:val="22"/>
        </w:rPr>
        <w:t xml:space="preserve"> Newsom’s proposal to </w:t>
      </w:r>
      <w:r w:rsidR="001E1307">
        <w:rPr>
          <w:rFonts w:ascii="Seaford" w:hAnsi="Seaford" w:eastAsia="Seaford" w:cs="Seaford"/>
          <w:sz w:val="22"/>
          <w:szCs w:val="22"/>
        </w:rPr>
        <w:t xml:space="preserve">make other major </w:t>
      </w:r>
      <w:r w:rsidRPr="0066234F">
        <w:rPr>
          <w:rFonts w:ascii="Seaford" w:hAnsi="Seaford" w:eastAsia="Seaford" w:cs="Seaford"/>
          <w:sz w:val="22"/>
          <w:szCs w:val="22"/>
        </w:rPr>
        <w:t>invest</w:t>
      </w:r>
      <w:r w:rsidR="001E1307">
        <w:rPr>
          <w:rFonts w:ascii="Seaford" w:hAnsi="Seaford" w:eastAsia="Seaford" w:cs="Seaford"/>
          <w:sz w:val="22"/>
          <w:szCs w:val="22"/>
        </w:rPr>
        <w:t>ments</w:t>
      </w:r>
      <w:r w:rsidRPr="0066234F">
        <w:rPr>
          <w:rFonts w:ascii="Seaford" w:hAnsi="Seaford" w:eastAsia="Seaford" w:cs="Seaford"/>
          <w:sz w:val="22"/>
          <w:szCs w:val="22"/>
        </w:rPr>
        <w:t xml:space="preserve"> in the state’s health care workforce</w:t>
      </w:r>
      <w:r w:rsidRPr="0066234F" w:rsidR="002F3F99">
        <w:rPr>
          <w:rFonts w:ascii="Seaford" w:hAnsi="Seaford" w:eastAsia="Seaford" w:cs="Seaford"/>
          <w:sz w:val="22"/>
          <w:szCs w:val="22"/>
        </w:rPr>
        <w:t xml:space="preserve">. </w:t>
      </w:r>
    </w:p>
    <w:p w:rsidR="002F3F99" w:rsidP="002F3F99" w:rsidRDefault="002F3F99" w14:paraId="4EEE14C4" w14:textId="77777777">
      <w:pPr>
        <w:tabs>
          <w:tab w:val="left" w:pos="3140"/>
        </w:tabs>
        <w:rPr>
          <w:rFonts w:ascii="Seaford" w:hAnsi="Seaford" w:eastAsia="Seaford" w:cs="Seaford"/>
          <w:sz w:val="22"/>
          <w:szCs w:val="22"/>
        </w:rPr>
      </w:pPr>
    </w:p>
    <w:p w:rsidRPr="0066234F" w:rsidR="0066234F" w:rsidP="002F3F99" w:rsidRDefault="0066234F" w14:paraId="05D96D80" w14:textId="77777777">
      <w:pPr>
        <w:spacing w:line="257" w:lineRule="auto"/>
        <w:rPr>
          <w:rFonts w:ascii="Seaford" w:hAnsi="Seaford"/>
          <w:b/>
          <w:bCs/>
          <w:sz w:val="22"/>
          <w:szCs w:val="22"/>
        </w:rPr>
      </w:pPr>
      <w:r w:rsidRPr="0066234F">
        <w:rPr>
          <w:rFonts w:ascii="Seaford" w:hAnsi="Seaford"/>
          <w:b/>
          <w:bCs/>
          <w:sz w:val="22"/>
          <w:szCs w:val="22"/>
        </w:rPr>
        <w:t>Increased Access to Equitable Health Care</w:t>
      </w:r>
    </w:p>
    <w:p w:rsidR="002F3F99" w:rsidP="00F941A8" w:rsidRDefault="002F3F99" w14:paraId="6692CBEB" w14:textId="5D3C02F7">
      <w:pPr>
        <w:rPr>
          <w:rFonts w:ascii="Seaford" w:hAnsi="Seaford"/>
          <w:sz w:val="22"/>
          <w:szCs w:val="22"/>
        </w:rPr>
      </w:pPr>
      <w:bookmarkStart w:name="_Hlk101272916" w:id="1"/>
      <w:r w:rsidRPr="64987C7A">
        <w:rPr>
          <w:rFonts w:ascii="Seaford" w:hAnsi="Seaford"/>
          <w:sz w:val="22"/>
          <w:szCs w:val="22"/>
        </w:rPr>
        <w:t>Medi-Cal provides health coverage to low-income Californians — one-third of the entire state and nearly half of all children</w:t>
      </w:r>
      <w:r w:rsidR="00BF6443">
        <w:rPr>
          <w:rFonts w:ascii="Seaford" w:hAnsi="Seaford"/>
          <w:sz w:val="22"/>
          <w:szCs w:val="22"/>
        </w:rPr>
        <w:t>. T</w:t>
      </w:r>
      <w:r w:rsidRPr="64987C7A">
        <w:rPr>
          <w:rFonts w:ascii="Seaford" w:hAnsi="Seaford"/>
          <w:sz w:val="22"/>
          <w:szCs w:val="22"/>
        </w:rPr>
        <w:t xml:space="preserve">hose who rely on Medi-Cal coverage are disproportionately people of color (two-thirds are non-white). But Medi-Cal beneficiaries are shortchanged: systemic underfunding means that those who care for Medi-Cal patients are reimbursed </w:t>
      </w:r>
      <w:r w:rsidRPr="64987C7A">
        <w:rPr>
          <w:rFonts w:ascii="Seaford" w:hAnsi="Seaford" w:eastAsia="Seaford" w:cs="Seaford"/>
          <w:sz w:val="22"/>
          <w:szCs w:val="22"/>
        </w:rPr>
        <w:t>just 74 cents for every dollar they spend providing care, resulting in fewer resources for California’s most vulnerable communities.</w:t>
      </w:r>
      <w:r w:rsidRPr="64987C7A">
        <w:rPr>
          <w:rFonts w:ascii="Seaford" w:hAnsi="Seaford"/>
          <w:sz w:val="22"/>
          <w:szCs w:val="22"/>
        </w:rPr>
        <w:t xml:space="preserve"> </w:t>
      </w:r>
    </w:p>
    <w:bookmarkEnd w:id="1"/>
    <w:p w:rsidR="009335C1" w:rsidP="002F3F99" w:rsidRDefault="009335C1" w14:paraId="224992ED" w14:textId="77777777">
      <w:pPr>
        <w:spacing w:line="257" w:lineRule="auto"/>
        <w:rPr>
          <w:rFonts w:ascii="Seaford" w:hAnsi="Seaford"/>
          <w:sz w:val="22"/>
          <w:szCs w:val="22"/>
        </w:rPr>
      </w:pPr>
    </w:p>
    <w:p w:rsidRPr="00030494" w:rsidR="00030494" w:rsidP="00030494" w:rsidRDefault="00F272F6" w14:paraId="13D2A4A0" w14:textId="43DE44DF">
      <w:pPr>
        <w:rPr>
          <w:rFonts w:ascii="Seaford" w:hAnsi="Seaford"/>
          <w:sz w:val="22"/>
          <w:szCs w:val="22"/>
        </w:rPr>
      </w:pPr>
      <w:bookmarkStart w:name="_Hlk101273040" w:id="2"/>
      <w:r>
        <w:rPr>
          <w:rFonts w:ascii="Seaford" w:hAnsi="Seaford"/>
          <w:sz w:val="22"/>
          <w:szCs w:val="22"/>
        </w:rPr>
        <w:t>State</w:t>
      </w:r>
      <w:r w:rsidRPr="00030494" w:rsidR="00030494">
        <w:rPr>
          <w:rFonts w:ascii="Seaford" w:hAnsi="Seaford"/>
          <w:sz w:val="22"/>
          <w:szCs w:val="22"/>
        </w:rPr>
        <w:t xml:space="preserve"> law requires Medi-Cal inpatient fee-for-service</w:t>
      </w:r>
      <w:r>
        <w:rPr>
          <w:rFonts w:ascii="Seaford" w:hAnsi="Seaford"/>
          <w:sz w:val="22"/>
          <w:szCs w:val="22"/>
        </w:rPr>
        <w:t xml:space="preserve"> (FFS)</w:t>
      </w:r>
      <w:r w:rsidRPr="00030494" w:rsidR="00030494">
        <w:rPr>
          <w:rFonts w:ascii="Seaford" w:hAnsi="Seaford"/>
          <w:sz w:val="22"/>
          <w:szCs w:val="22"/>
        </w:rPr>
        <w:t xml:space="preserve"> reimbursement for private and district hospitals to be fixed at 2012-13 levels, while expenses for patient care — things like health care worker salaries and benefits, supplies, pharmaceuticals, utilities, and more — have increased by more than 45% during that same period. </w:t>
      </w:r>
      <w:r>
        <w:rPr>
          <w:rFonts w:ascii="Seaford" w:hAnsi="Seaford"/>
          <w:sz w:val="22"/>
          <w:szCs w:val="22"/>
        </w:rPr>
        <w:t>Designated</w:t>
      </w:r>
      <w:r w:rsidRPr="00030494" w:rsidR="00030494">
        <w:rPr>
          <w:rFonts w:ascii="Seaford" w:hAnsi="Seaford"/>
          <w:sz w:val="22"/>
          <w:szCs w:val="22"/>
        </w:rPr>
        <w:t xml:space="preserve"> public hospitals use their own resources, instead of receiving state general funds, to provide care to Medi-Cal </w:t>
      </w:r>
      <w:r w:rsidR="00BF6443">
        <w:rPr>
          <w:rFonts w:ascii="Seaford" w:hAnsi="Seaford"/>
          <w:sz w:val="22"/>
          <w:szCs w:val="22"/>
        </w:rPr>
        <w:t>FFS</w:t>
      </w:r>
      <w:r w:rsidRPr="00030494" w:rsidR="00030494">
        <w:rPr>
          <w:rFonts w:ascii="Seaford" w:hAnsi="Seaford"/>
          <w:sz w:val="22"/>
          <w:szCs w:val="22"/>
        </w:rPr>
        <w:t xml:space="preserve"> patients, resulting in reimbursement that covers </w:t>
      </w:r>
      <w:r>
        <w:rPr>
          <w:rFonts w:ascii="Seaford" w:hAnsi="Seaford"/>
          <w:sz w:val="22"/>
          <w:szCs w:val="22"/>
        </w:rPr>
        <w:t>only about</w:t>
      </w:r>
      <w:r w:rsidRPr="00030494" w:rsidR="00030494">
        <w:rPr>
          <w:rFonts w:ascii="Seaford" w:hAnsi="Seaford"/>
          <w:sz w:val="22"/>
          <w:szCs w:val="22"/>
        </w:rPr>
        <w:t xml:space="preserve"> half of the cost to care for hospitalized patients.</w:t>
      </w:r>
    </w:p>
    <w:p w:rsidRPr="00030494" w:rsidR="00030494" w:rsidP="00030494" w:rsidRDefault="00030494" w14:paraId="7080101A" w14:textId="7BF69A4C">
      <w:pPr>
        <w:rPr>
          <w:rFonts w:ascii="Seaford" w:hAnsi="Seaford"/>
          <w:sz w:val="22"/>
          <w:szCs w:val="22"/>
        </w:rPr>
      </w:pPr>
    </w:p>
    <w:p w:rsidRPr="00030494" w:rsidR="00030494" w:rsidP="00030494" w:rsidRDefault="00030494" w14:paraId="4971844E" w14:textId="7168DC90">
      <w:pPr>
        <w:rPr>
          <w:rFonts w:ascii="Seaford" w:hAnsi="Seaford"/>
          <w:sz w:val="22"/>
          <w:szCs w:val="22"/>
        </w:rPr>
      </w:pPr>
      <w:r w:rsidRPr="00030494">
        <w:rPr>
          <w:rFonts w:ascii="Seaford" w:hAnsi="Seaford"/>
          <w:sz w:val="22"/>
          <w:szCs w:val="22"/>
        </w:rPr>
        <w:t>The impact on communities of color is significant. Outdated payment methodologies and the state’s overreliance on self-financed supplemental payment programs have led to substantial underfunding of the Medi-Cal program for patients and communities served by California’s critical safety net providers, which disproportionately affects people who are</w:t>
      </w:r>
      <w:r>
        <w:rPr>
          <w:rFonts w:ascii="Seaford" w:hAnsi="Seaford"/>
          <w:sz w:val="22"/>
          <w:szCs w:val="22"/>
        </w:rPr>
        <w:t xml:space="preserve"> </w:t>
      </w:r>
      <w:r w:rsidRPr="00030494">
        <w:rPr>
          <w:rFonts w:ascii="Seaford" w:hAnsi="Seaford"/>
          <w:sz w:val="22"/>
          <w:szCs w:val="22"/>
        </w:rPr>
        <w:t>often at the highest risk of poor health. The formula for reimbursing hospitals does not account for sicker, more disadvantaged communities and has not been increased since its inception a decade ago — all while the needs of communities with socioeconomic challenges have continued to grow. </w:t>
      </w:r>
    </w:p>
    <w:bookmarkEnd w:id="2"/>
    <w:p w:rsidR="002F3F99" w:rsidP="00253467" w:rsidRDefault="002F3F99" w14:paraId="05277E45" w14:textId="41F4F588">
      <w:pPr>
        <w:tabs>
          <w:tab w:val="left" w:pos="3140"/>
        </w:tabs>
        <w:rPr>
          <w:rFonts w:ascii="Seaford" w:hAnsi="Seaford" w:eastAsia="Seaford" w:cs="Seaford"/>
          <w:sz w:val="22"/>
          <w:szCs w:val="22"/>
        </w:rPr>
      </w:pPr>
      <w:r w:rsidRPr="00BF6443">
        <w:rPr>
          <w:rFonts w:ascii="Seaford" w:hAnsi="Seaford" w:eastAsia="Seaford" w:cs="Seaford"/>
          <w:sz w:val="22"/>
          <w:szCs w:val="22"/>
        </w:rPr>
        <w:lastRenderedPageBreak/>
        <w:t xml:space="preserve">For these reasons, </w:t>
      </w:r>
      <w:r w:rsidR="00190DAE">
        <w:rPr>
          <w:rFonts w:ascii="Seaford" w:hAnsi="Seaford" w:eastAsia="Seaford" w:cs="Seaford"/>
          <w:sz w:val="22"/>
          <w:szCs w:val="22"/>
        </w:rPr>
        <w:t xml:space="preserve">we urge </w:t>
      </w:r>
      <w:r w:rsidRPr="00BF6443" w:rsidR="00BF6443">
        <w:rPr>
          <w:rFonts w:ascii="Seaford" w:hAnsi="Seaford"/>
          <w:color w:val="000000"/>
          <w:sz w:val="22"/>
          <w:szCs w:val="22"/>
        </w:rPr>
        <w:t>your support of the proposal to address systemic funding issues and account for the individual challenges patients face, including</w:t>
      </w:r>
      <w:r w:rsidRPr="00BF6443">
        <w:rPr>
          <w:rFonts w:ascii="Seaford" w:hAnsi="Seaford" w:eastAsia="Seaford" w:cs="Seaford"/>
          <w:sz w:val="22"/>
          <w:szCs w:val="22"/>
        </w:rPr>
        <w:t>:</w:t>
      </w:r>
    </w:p>
    <w:p w:rsidRPr="00BF6443" w:rsidR="00BF6443" w:rsidP="00253467" w:rsidRDefault="00BF6443" w14:paraId="4AC1A2C5" w14:textId="77777777">
      <w:pPr>
        <w:tabs>
          <w:tab w:val="left" w:pos="3140"/>
        </w:tabs>
        <w:rPr>
          <w:rFonts w:ascii="Seaford" w:hAnsi="Seaford" w:eastAsia="Seaford" w:cs="Seaford"/>
          <w:sz w:val="22"/>
          <w:szCs w:val="22"/>
        </w:rPr>
      </w:pPr>
    </w:p>
    <w:p w:rsidRPr="009335C1" w:rsidR="002F3F99" w:rsidP="009335C1" w:rsidRDefault="002F3F99" w14:paraId="5723CFB8" w14:textId="5C7BDC31">
      <w:pPr>
        <w:pStyle w:val="ListParagraph"/>
        <w:numPr>
          <w:ilvl w:val="0"/>
          <w:numId w:val="3"/>
        </w:numPr>
        <w:tabs>
          <w:tab w:val="num" w:pos="2160"/>
        </w:tabs>
        <w:rPr>
          <w:rFonts w:ascii="Seaford" w:hAnsi="Seaford" w:eastAsia="Seaford" w:cs="Seaford"/>
          <w:sz w:val="22"/>
          <w:szCs w:val="22"/>
        </w:rPr>
      </w:pPr>
      <w:r w:rsidRPr="009335C1">
        <w:rPr>
          <w:rFonts w:ascii="Seaford" w:hAnsi="Seaford" w:eastAsia="Seaford" w:cs="Seaford"/>
          <w:sz w:val="22"/>
          <w:szCs w:val="22"/>
        </w:rPr>
        <w:t>Replac</w:t>
      </w:r>
      <w:r w:rsidRPr="009335C1" w:rsidR="009335C1">
        <w:rPr>
          <w:rFonts w:ascii="Seaford" w:hAnsi="Seaford" w:eastAsia="Seaford" w:cs="Seaford"/>
          <w:sz w:val="22"/>
          <w:szCs w:val="22"/>
        </w:rPr>
        <w:t>ing</w:t>
      </w:r>
      <w:r w:rsidRPr="009335C1">
        <w:rPr>
          <w:rFonts w:ascii="Seaford" w:hAnsi="Seaford" w:eastAsia="Seaford" w:cs="Seaford"/>
          <w:sz w:val="22"/>
          <w:szCs w:val="22"/>
        </w:rPr>
        <w:t xml:space="preserve"> the policy that </w:t>
      </w:r>
      <w:bookmarkStart w:name="_Hlk101273116" w:id="3"/>
      <w:r w:rsidRPr="009335C1">
        <w:rPr>
          <w:rFonts w:ascii="Seaford" w:hAnsi="Seaford" w:eastAsia="Seaford" w:cs="Seaford"/>
          <w:sz w:val="22"/>
          <w:szCs w:val="22"/>
        </w:rPr>
        <w:t>froze hospital APR-DRG (a schedule of payments for common</w:t>
      </w:r>
    </w:p>
    <w:p w:rsidRPr="00F941A8" w:rsidR="002F3F99" w:rsidP="00F941A8" w:rsidRDefault="002F3F99" w14:paraId="13E49798" w14:textId="77777777">
      <w:pPr>
        <w:tabs>
          <w:tab w:val="num" w:pos="720"/>
        </w:tabs>
        <w:ind w:left="720"/>
        <w:rPr>
          <w:rFonts w:ascii="Seaford" w:hAnsi="Seaford" w:eastAsia="Seaford" w:cs="Seaford"/>
          <w:sz w:val="22"/>
          <w:szCs w:val="22"/>
        </w:rPr>
      </w:pPr>
      <w:r w:rsidRPr="00F941A8">
        <w:rPr>
          <w:rFonts w:ascii="Seaford" w:hAnsi="Seaford" w:eastAsia="Seaford" w:cs="Seaford"/>
          <w:sz w:val="22"/>
          <w:szCs w:val="22"/>
        </w:rPr>
        <w:t>procedures) rates at 2012-13 levels</w:t>
      </w:r>
    </w:p>
    <w:p w:rsidRPr="009335C1" w:rsidR="002F3F99" w:rsidP="009335C1" w:rsidRDefault="002F3F99" w14:paraId="43985C37" w14:textId="77777777">
      <w:pPr>
        <w:pStyle w:val="ListParagraph"/>
        <w:numPr>
          <w:ilvl w:val="0"/>
          <w:numId w:val="3"/>
        </w:numPr>
        <w:rPr>
          <w:rFonts w:ascii="Seaford" w:hAnsi="Seaford" w:eastAsia="Seaford" w:cs="Seaford"/>
          <w:sz w:val="22"/>
          <w:szCs w:val="22"/>
        </w:rPr>
      </w:pPr>
      <w:r w:rsidRPr="009335C1">
        <w:rPr>
          <w:rFonts w:ascii="Seaford" w:hAnsi="Seaford" w:eastAsia="Seaford" w:cs="Seaford"/>
          <w:sz w:val="22"/>
          <w:szCs w:val="22"/>
        </w:rPr>
        <w:t>New, annual payment adjustments to account for the social and environmental challenges patients may be experiencing</w:t>
      </w:r>
    </w:p>
    <w:p w:rsidRPr="009335C1" w:rsidR="002F3F99" w:rsidP="009335C1" w:rsidRDefault="002F3F99" w14:paraId="47167416" w14:textId="5A0A8BDC">
      <w:pPr>
        <w:pStyle w:val="ListParagraph"/>
        <w:numPr>
          <w:ilvl w:val="0"/>
          <w:numId w:val="3"/>
        </w:numPr>
        <w:rPr>
          <w:rFonts w:ascii="Seaford" w:hAnsi="Seaford" w:eastAsia="Seaford" w:cs="Seaford"/>
          <w:sz w:val="22"/>
          <w:szCs w:val="22"/>
        </w:rPr>
      </w:pPr>
      <w:r w:rsidRPr="009335C1">
        <w:rPr>
          <w:rFonts w:ascii="Seaford" w:hAnsi="Seaford" w:eastAsia="Seaford" w:cs="Seaford"/>
          <w:sz w:val="22"/>
          <w:szCs w:val="22"/>
        </w:rPr>
        <w:t>Convert</w:t>
      </w:r>
      <w:r w:rsidRPr="009335C1" w:rsidR="009335C1">
        <w:rPr>
          <w:rFonts w:ascii="Seaford" w:hAnsi="Seaford" w:eastAsia="Seaford" w:cs="Seaford"/>
          <w:sz w:val="22"/>
          <w:szCs w:val="22"/>
        </w:rPr>
        <w:t>ing</w:t>
      </w:r>
      <w:r w:rsidRPr="009335C1">
        <w:rPr>
          <w:rFonts w:ascii="Seaford" w:hAnsi="Seaford" w:eastAsia="Seaford" w:cs="Seaford"/>
          <w:sz w:val="22"/>
          <w:szCs w:val="22"/>
        </w:rPr>
        <w:t xml:space="preserve"> public hospitals’ Medi-Cal fee-for-service inpatient reimbursement to a value-based structure that includes state General Fund support</w:t>
      </w:r>
    </w:p>
    <w:bookmarkEnd w:id="3"/>
    <w:p w:rsidRPr="00B82960" w:rsidR="002F3F99" w:rsidP="002F3F99" w:rsidRDefault="002F3F99" w14:paraId="504046AA" w14:textId="77777777">
      <w:pPr>
        <w:tabs>
          <w:tab w:val="left" w:pos="3140"/>
        </w:tabs>
        <w:rPr>
          <w:rFonts w:ascii="Seaford" w:hAnsi="Seaford"/>
          <w:sz w:val="22"/>
          <w:szCs w:val="22"/>
        </w:rPr>
      </w:pPr>
    </w:p>
    <w:p w:rsidRPr="005D24FE" w:rsidR="005D24FE" w:rsidP="005D24FE" w:rsidRDefault="005D24FE" w14:paraId="3FCC1F75" w14:textId="0DA82EA7">
      <w:pPr>
        <w:tabs>
          <w:tab w:val="num" w:pos="720"/>
        </w:tabs>
        <w:rPr>
          <w:rFonts w:ascii="Seaford" w:hAnsi="Seaford" w:eastAsia="Seaford" w:cs="Seaford"/>
          <w:b/>
          <w:bCs/>
          <w:sz w:val="22"/>
          <w:szCs w:val="22"/>
        </w:rPr>
      </w:pPr>
      <w:r w:rsidRPr="0F2F6FC9">
        <w:rPr>
          <w:rFonts w:ascii="Seaford" w:hAnsi="Seaford" w:eastAsia="Seaford" w:cs="Seaford"/>
          <w:b/>
          <w:bCs/>
          <w:sz w:val="22"/>
          <w:szCs w:val="22"/>
        </w:rPr>
        <w:t>Invest</w:t>
      </w:r>
      <w:r w:rsidRPr="0F2F6FC9" w:rsidR="0066234F">
        <w:rPr>
          <w:rFonts w:ascii="Seaford" w:hAnsi="Seaford" w:eastAsia="Seaford" w:cs="Seaford"/>
          <w:b/>
          <w:bCs/>
          <w:sz w:val="22"/>
          <w:szCs w:val="22"/>
        </w:rPr>
        <w:t>ments</w:t>
      </w:r>
      <w:r w:rsidRPr="0F2F6FC9">
        <w:rPr>
          <w:rFonts w:ascii="Seaford" w:hAnsi="Seaford" w:eastAsia="Seaford" w:cs="Seaford"/>
          <w:b/>
          <w:bCs/>
          <w:sz w:val="22"/>
          <w:szCs w:val="22"/>
        </w:rPr>
        <w:t xml:space="preserve"> in the Health Care Workforce</w:t>
      </w:r>
    </w:p>
    <w:p w:rsidRPr="001943F3" w:rsidR="005D24FE" w:rsidP="0F2F6FC9" w:rsidRDefault="0F2F6FC9" w14:paraId="19658D87" w14:textId="7DF7EB4A">
      <w:r w:rsidRPr="0F2F6FC9">
        <w:rPr>
          <w:rFonts w:ascii="Seaford" w:hAnsi="Seaford" w:eastAsia="Seaford" w:cs="Seaford"/>
          <w:sz w:val="22"/>
          <w:szCs w:val="22"/>
        </w:rPr>
        <w:t>Statewide, patients in California face a health care system lacking enough nurses, physicians, pharmacists, behavioral health professionals, lab scientists, geriatric specialists, and physical therapists to provide the care they need.</w:t>
      </w:r>
      <w:r w:rsidRPr="0F2F6FC9" w:rsidR="001943F3">
        <w:rPr>
          <w:rFonts w:ascii="Seaford" w:hAnsi="Seaford" w:eastAsia="Seaford" w:cs="Seaford"/>
          <w:sz w:val="22"/>
          <w:szCs w:val="22"/>
        </w:rPr>
        <w:t xml:space="preserve"> A </w:t>
      </w:r>
      <w:hyperlink r:id="rId8">
        <w:r w:rsidRPr="0F2F6FC9" w:rsidR="007444BA">
          <w:rPr>
            <w:rStyle w:val="Hyperlink"/>
            <w:rFonts w:ascii="Seaford" w:hAnsi="Seaford" w:cs="Segoe UI"/>
            <w:sz w:val="22"/>
            <w:szCs w:val="22"/>
          </w:rPr>
          <w:t>UC San Francisco study</w:t>
        </w:r>
      </w:hyperlink>
      <w:r w:rsidRPr="0F2F6FC9" w:rsidR="007444BA">
        <w:rPr>
          <w:rStyle w:val="cf11"/>
          <w:rFonts w:ascii="Seaford" w:hAnsi="Seaford"/>
          <w:sz w:val="22"/>
          <w:szCs w:val="22"/>
        </w:rPr>
        <w:t xml:space="preserve"> of the state’s nursing shortage</w:t>
      </w:r>
      <w:r w:rsidRPr="0F2F6FC9" w:rsidR="007444BA">
        <w:rPr>
          <w:rStyle w:val="cf21"/>
          <w:rFonts w:ascii="Seaford" w:hAnsi="Seaford"/>
          <w:sz w:val="22"/>
          <w:szCs w:val="22"/>
        </w:rPr>
        <w:t xml:space="preserve"> </w:t>
      </w:r>
      <w:r w:rsidRPr="0F2F6FC9" w:rsidR="007444BA">
        <w:rPr>
          <w:rStyle w:val="cf01"/>
          <w:rFonts w:ascii="Seaford" w:hAnsi="Seaford"/>
          <w:sz w:val="22"/>
          <w:szCs w:val="22"/>
        </w:rPr>
        <w:t>reports it will take until 2026 to close the state’s current nursing gap.</w:t>
      </w:r>
      <w:r w:rsidRPr="0F2F6FC9" w:rsidR="007444BA">
        <w:rPr>
          <w:rStyle w:val="cf01"/>
        </w:rPr>
        <w:t xml:space="preserve"> </w:t>
      </w:r>
      <w:bookmarkStart w:name="_Hlk101273285" w:id="4"/>
    </w:p>
    <w:p w:rsidR="001943F3" w:rsidP="005D24FE" w:rsidRDefault="001943F3" w14:paraId="74C39140" w14:textId="77777777">
      <w:pPr>
        <w:tabs>
          <w:tab w:val="num" w:pos="720"/>
        </w:tabs>
        <w:rPr>
          <w:rFonts w:ascii="Seaford" w:hAnsi="Seaford" w:eastAsia="Seaford" w:cs="Seaford"/>
          <w:i/>
          <w:iCs/>
          <w:sz w:val="22"/>
          <w:szCs w:val="22"/>
        </w:rPr>
      </w:pPr>
    </w:p>
    <w:p w:rsidRPr="005E43A4" w:rsidR="005E43A4" w:rsidP="005D24FE" w:rsidRDefault="005E43A4" w14:paraId="49461CF2" w14:textId="2A8CC08C">
      <w:pPr>
        <w:tabs>
          <w:tab w:val="num" w:pos="720"/>
        </w:tabs>
        <w:rPr>
          <w:rFonts w:ascii="Seaford" w:hAnsi="Seaford" w:eastAsia="Seaford" w:cs="Seaford"/>
          <w:i/>
          <w:iCs/>
          <w:sz w:val="22"/>
          <w:szCs w:val="22"/>
        </w:rPr>
      </w:pPr>
      <w:r w:rsidRPr="005E43A4">
        <w:rPr>
          <w:rFonts w:ascii="Seaford" w:hAnsi="Seaford" w:eastAsia="Seaford" w:cs="Seaford"/>
          <w:i/>
          <w:iCs/>
          <w:sz w:val="22"/>
          <w:szCs w:val="22"/>
        </w:rPr>
        <w:t>Graduate Medical Education</w:t>
      </w:r>
    </w:p>
    <w:p w:rsidR="004D3190" w:rsidP="004D3190" w:rsidRDefault="00190DAE" w14:paraId="1D274F11" w14:textId="0482821C">
      <w:pPr>
        <w:tabs>
          <w:tab w:val="num" w:pos="720"/>
        </w:tabs>
        <w:rPr>
          <w:rFonts w:ascii="Seaford" w:hAnsi="Seaford" w:eastAsia="Seaford" w:cs="Seaford"/>
          <w:sz w:val="22"/>
          <w:szCs w:val="22"/>
        </w:rPr>
      </w:pPr>
      <w:r>
        <w:rPr>
          <w:rFonts w:ascii="Seaford" w:hAnsi="Seaford" w:eastAsia="Seaford" w:cs="Seaford"/>
          <w:sz w:val="22"/>
          <w:szCs w:val="22"/>
        </w:rPr>
        <w:t xml:space="preserve">The CHA stakeholder </w:t>
      </w:r>
      <w:r w:rsidR="00624C4E">
        <w:rPr>
          <w:rFonts w:ascii="Seaford" w:hAnsi="Seaford" w:eastAsia="Seaford" w:cs="Seaford"/>
          <w:sz w:val="22"/>
          <w:szCs w:val="22"/>
        </w:rPr>
        <w:t>proposal also aims</w:t>
      </w:r>
      <w:r w:rsidR="00BF6443">
        <w:rPr>
          <w:rFonts w:ascii="Seaford" w:hAnsi="Seaford" w:eastAsia="Seaford" w:cs="Seaford"/>
          <w:sz w:val="22"/>
          <w:szCs w:val="22"/>
        </w:rPr>
        <w:t xml:space="preserve"> to</w:t>
      </w:r>
      <w:r w:rsidR="009335C1">
        <w:rPr>
          <w:rFonts w:ascii="Seaford" w:hAnsi="Seaford" w:eastAsia="Seaford" w:cs="Seaford"/>
          <w:sz w:val="22"/>
          <w:szCs w:val="22"/>
        </w:rPr>
        <w:t xml:space="preserve"> </w:t>
      </w:r>
      <w:r w:rsidR="00BF6443">
        <w:rPr>
          <w:rFonts w:ascii="Seaford" w:hAnsi="Seaford" w:eastAsia="Seaford" w:cs="Seaford"/>
          <w:sz w:val="22"/>
          <w:szCs w:val="22"/>
        </w:rPr>
        <w:t xml:space="preserve">help </w:t>
      </w:r>
      <w:r w:rsidRPr="005D24FE" w:rsidR="00BF6443">
        <w:rPr>
          <w:rFonts w:ascii="Seaford" w:hAnsi="Seaford" w:eastAsia="Seaford" w:cs="Seaford"/>
          <w:sz w:val="22"/>
          <w:szCs w:val="22"/>
        </w:rPr>
        <w:t>ensure Californians have access to the care they deserve</w:t>
      </w:r>
      <w:r w:rsidR="00BF6443">
        <w:rPr>
          <w:rFonts w:ascii="Seaford" w:hAnsi="Seaford" w:eastAsia="Seaford" w:cs="Seaford"/>
          <w:sz w:val="22"/>
          <w:szCs w:val="22"/>
        </w:rPr>
        <w:t xml:space="preserve"> by </w:t>
      </w:r>
      <w:r w:rsidR="009335C1">
        <w:rPr>
          <w:rFonts w:ascii="Seaford" w:hAnsi="Seaford" w:eastAsia="Seaford" w:cs="Seaford"/>
          <w:sz w:val="22"/>
          <w:szCs w:val="22"/>
        </w:rPr>
        <w:t>increas</w:t>
      </w:r>
      <w:r w:rsidR="00BF6443">
        <w:rPr>
          <w:rFonts w:ascii="Seaford" w:hAnsi="Seaford" w:eastAsia="Seaford" w:cs="Seaford"/>
          <w:sz w:val="22"/>
          <w:szCs w:val="22"/>
        </w:rPr>
        <w:t>ing</w:t>
      </w:r>
      <w:r w:rsidRPr="005D24FE" w:rsidR="005D24FE">
        <w:rPr>
          <w:rFonts w:ascii="Seaford" w:hAnsi="Seaford" w:eastAsia="Seaford" w:cs="Seaford"/>
          <w:sz w:val="22"/>
          <w:szCs w:val="22"/>
        </w:rPr>
        <w:t xml:space="preserve"> funding </w:t>
      </w:r>
      <w:r w:rsidR="00466B9B">
        <w:rPr>
          <w:rFonts w:ascii="Seaford" w:hAnsi="Seaford" w:eastAsia="Seaford" w:cs="Seaford"/>
          <w:sz w:val="22"/>
          <w:szCs w:val="22"/>
        </w:rPr>
        <w:t>for</w:t>
      </w:r>
      <w:r w:rsidRPr="005D24FE" w:rsidR="005D24FE">
        <w:rPr>
          <w:rFonts w:ascii="Seaford" w:hAnsi="Seaford" w:eastAsia="Seaford" w:cs="Seaford"/>
          <w:sz w:val="22"/>
          <w:szCs w:val="22"/>
        </w:rPr>
        <w:t xml:space="preserve"> the state’s GME program</w:t>
      </w:r>
      <w:r w:rsidR="00BF6443">
        <w:rPr>
          <w:rFonts w:ascii="Seaford" w:hAnsi="Seaford" w:eastAsia="Seaford" w:cs="Seaford"/>
          <w:sz w:val="22"/>
          <w:szCs w:val="22"/>
        </w:rPr>
        <w:t>. It</w:t>
      </w:r>
      <w:r w:rsidRPr="005D24FE" w:rsidR="005D24FE">
        <w:rPr>
          <w:rFonts w:ascii="Seaford" w:hAnsi="Seaford" w:eastAsia="Seaford" w:cs="Seaford"/>
          <w:sz w:val="22"/>
          <w:szCs w:val="22"/>
        </w:rPr>
        <w:t xml:space="preserve"> is vital to the health of Californians to further fund </w:t>
      </w:r>
      <w:r w:rsidRPr="005D0E42" w:rsidR="005D24FE">
        <w:rPr>
          <w:rFonts w:ascii="Seaford" w:hAnsi="Seaford" w:eastAsia="Seaford" w:cs="Seaford"/>
          <w:sz w:val="22"/>
          <w:szCs w:val="22"/>
        </w:rPr>
        <w:t>programs that train doctors across the state</w:t>
      </w:r>
      <w:r w:rsidRPr="005D24FE" w:rsidR="005D24FE">
        <w:rPr>
          <w:rFonts w:ascii="Seaford" w:hAnsi="Seaford" w:eastAsia="Seaford" w:cs="Seaford"/>
          <w:b/>
          <w:bCs/>
          <w:sz w:val="22"/>
          <w:szCs w:val="22"/>
        </w:rPr>
        <w:t xml:space="preserve">. </w:t>
      </w:r>
      <w:r w:rsidRPr="005D24FE" w:rsidR="004D3190">
        <w:rPr>
          <w:rFonts w:ascii="Seaford" w:hAnsi="Seaford" w:eastAsia="Seaford" w:cs="Seaford"/>
          <w:sz w:val="22"/>
          <w:szCs w:val="22"/>
        </w:rPr>
        <w:t xml:space="preserve">Supporting GME programs </w:t>
      </w:r>
      <w:r w:rsidR="005E43A4">
        <w:rPr>
          <w:rFonts w:ascii="Seaford" w:hAnsi="Seaford" w:eastAsia="Seaford" w:cs="Seaford"/>
          <w:sz w:val="22"/>
          <w:szCs w:val="22"/>
        </w:rPr>
        <w:t>in the following way</w:t>
      </w:r>
      <w:r w:rsidR="00E9073F">
        <w:rPr>
          <w:rFonts w:ascii="Seaford" w:hAnsi="Seaford" w:eastAsia="Seaford" w:cs="Seaford"/>
          <w:sz w:val="22"/>
          <w:szCs w:val="22"/>
        </w:rPr>
        <w:t>s</w:t>
      </w:r>
      <w:r w:rsidR="005E43A4">
        <w:rPr>
          <w:rFonts w:ascii="Seaford" w:hAnsi="Seaford" w:eastAsia="Seaford" w:cs="Seaford"/>
          <w:sz w:val="22"/>
          <w:szCs w:val="22"/>
        </w:rPr>
        <w:t xml:space="preserve"> </w:t>
      </w:r>
      <w:r w:rsidRPr="005D24FE" w:rsidR="004D3190">
        <w:rPr>
          <w:rFonts w:ascii="Seaford" w:hAnsi="Seaford" w:eastAsia="Seaford" w:cs="Seaford"/>
          <w:sz w:val="22"/>
          <w:szCs w:val="22"/>
        </w:rPr>
        <w:t xml:space="preserve">will be </w:t>
      </w:r>
      <w:r w:rsidR="00466B9B">
        <w:rPr>
          <w:rFonts w:ascii="Seaford" w:hAnsi="Seaford" w:eastAsia="Seaford" w:cs="Seaford"/>
          <w:sz w:val="22"/>
          <w:szCs w:val="22"/>
        </w:rPr>
        <w:t>key to replenishing</w:t>
      </w:r>
      <w:r w:rsidRPr="005D24FE" w:rsidR="004D3190">
        <w:rPr>
          <w:rFonts w:ascii="Seaford" w:hAnsi="Seaford" w:eastAsia="Seaford" w:cs="Seaford"/>
          <w:sz w:val="22"/>
          <w:szCs w:val="22"/>
        </w:rPr>
        <w:t xml:space="preserve"> our depleted health care workforce</w:t>
      </w:r>
      <w:r w:rsidR="005E43A4">
        <w:rPr>
          <w:rFonts w:ascii="Seaford" w:hAnsi="Seaford" w:eastAsia="Seaford" w:cs="Seaford"/>
          <w:sz w:val="22"/>
          <w:szCs w:val="22"/>
        </w:rPr>
        <w:t>:</w:t>
      </w:r>
    </w:p>
    <w:p w:rsidRPr="005D24FE" w:rsidR="00BF6443" w:rsidP="004D3190" w:rsidRDefault="00BF6443" w14:paraId="465FF1EC" w14:textId="77777777">
      <w:pPr>
        <w:tabs>
          <w:tab w:val="num" w:pos="720"/>
        </w:tabs>
        <w:rPr>
          <w:rFonts w:ascii="Seaford" w:hAnsi="Seaford" w:eastAsia="Seaford" w:cs="Seaford"/>
          <w:b/>
          <w:bCs/>
          <w:sz w:val="22"/>
          <w:szCs w:val="22"/>
        </w:rPr>
      </w:pPr>
    </w:p>
    <w:p w:rsidRPr="007444BA" w:rsidR="004D3190" w:rsidP="004D3190" w:rsidRDefault="004D3190" w14:paraId="6770DC20" w14:textId="70FF3CB5">
      <w:pPr>
        <w:pStyle w:val="ListParagraph"/>
        <w:numPr>
          <w:ilvl w:val="0"/>
          <w:numId w:val="1"/>
        </w:numPr>
        <w:tabs>
          <w:tab w:val="num" w:pos="720"/>
        </w:tabs>
        <w:rPr>
          <w:rFonts w:ascii="Seaford" w:hAnsi="Seaford" w:eastAsia="Seaford" w:cs="Seaford"/>
          <w:sz w:val="22"/>
          <w:szCs w:val="22"/>
        </w:rPr>
      </w:pPr>
      <w:r w:rsidRPr="005D24FE">
        <w:rPr>
          <w:rFonts w:ascii="Seaford" w:hAnsi="Seaford" w:eastAsia="Seaford" w:cs="Seaford"/>
          <w:sz w:val="22"/>
          <w:szCs w:val="22"/>
        </w:rPr>
        <w:t xml:space="preserve">Expand the Medi-Cal GME program to include </w:t>
      </w:r>
      <w:r w:rsidRPr="001943F3">
        <w:rPr>
          <w:rFonts w:ascii="Seaford" w:hAnsi="Seaford" w:eastAsia="Seaford" w:cs="Seaford"/>
          <w:b/>
          <w:bCs/>
          <w:sz w:val="22"/>
          <w:szCs w:val="22"/>
        </w:rPr>
        <w:t>all eligible hospitals</w:t>
      </w:r>
      <w:r w:rsidRPr="005D24FE">
        <w:rPr>
          <w:rFonts w:ascii="Seaford" w:hAnsi="Seaford" w:eastAsia="Seaford" w:cs="Seaford"/>
          <w:sz w:val="22"/>
          <w:szCs w:val="22"/>
        </w:rPr>
        <w:t xml:space="preserve">, not just the designated public hospitals </w:t>
      </w:r>
    </w:p>
    <w:bookmarkEnd w:id="4"/>
    <w:p w:rsidRPr="001943F3" w:rsidR="004D3190" w:rsidP="001943F3" w:rsidRDefault="004D3190" w14:paraId="111CDEDF" w14:textId="41341C98">
      <w:pPr>
        <w:pStyle w:val="ListParagraph"/>
        <w:numPr>
          <w:ilvl w:val="0"/>
          <w:numId w:val="1"/>
        </w:numPr>
        <w:spacing w:line="259" w:lineRule="auto"/>
        <w:rPr>
          <w:rFonts w:ascii="Seaford" w:hAnsi="Seaford" w:eastAsia="Seaford" w:cs="Seaford"/>
          <w:b/>
          <w:bCs/>
          <w:sz w:val="22"/>
          <w:szCs w:val="22"/>
        </w:rPr>
      </w:pPr>
      <w:r w:rsidRPr="001943F3">
        <w:rPr>
          <w:rFonts w:ascii="Seaford" w:hAnsi="Seaford" w:eastAsia="Seaford" w:cs="Seaford"/>
          <w:sz w:val="22"/>
          <w:szCs w:val="22"/>
        </w:rPr>
        <w:t xml:space="preserve">Eliminate the self-financing requirement and dedicate ongoing state General Fund resources to support these vulnerable programs </w:t>
      </w:r>
    </w:p>
    <w:bookmarkEnd w:id="0"/>
    <w:p w:rsidR="001943F3" w:rsidRDefault="001943F3" w14:paraId="5C87123A" w14:textId="77777777">
      <w:pPr>
        <w:rPr>
          <w:rFonts w:ascii="Seaford" w:hAnsi="Seaford" w:cs="Arial"/>
          <w:i/>
          <w:iCs/>
          <w:sz w:val="22"/>
          <w:szCs w:val="22"/>
        </w:rPr>
      </w:pPr>
    </w:p>
    <w:p w:rsidRPr="005E43A4" w:rsidR="005E43A4" w:rsidRDefault="005E43A4" w14:paraId="5F0B59D3" w14:textId="3C9C8AD6">
      <w:pPr>
        <w:rPr>
          <w:rFonts w:ascii="Seaford" w:hAnsi="Seaford" w:cs="Arial"/>
          <w:i/>
          <w:iCs/>
          <w:sz w:val="22"/>
          <w:szCs w:val="22"/>
        </w:rPr>
      </w:pPr>
      <w:r w:rsidRPr="005E43A4">
        <w:rPr>
          <w:rFonts w:ascii="Seaford" w:hAnsi="Seaford" w:cs="Arial"/>
          <w:i/>
          <w:iCs/>
          <w:sz w:val="22"/>
          <w:szCs w:val="22"/>
        </w:rPr>
        <w:t>Workforce Training and Support</w:t>
      </w:r>
    </w:p>
    <w:p w:rsidR="00316C27" w:rsidRDefault="005E43A4" w14:paraId="71F4A8AB" w14:textId="77777777">
      <w:pPr>
        <w:rPr>
          <w:rFonts w:ascii="Seaford" w:hAnsi="Seaford"/>
          <w:sz w:val="22"/>
          <w:szCs w:val="22"/>
        </w:rPr>
      </w:pPr>
      <w:r w:rsidRPr="005E43A4">
        <w:rPr>
          <w:rFonts w:ascii="Seaford" w:hAnsi="Seaford"/>
          <w:sz w:val="22"/>
          <w:szCs w:val="22"/>
        </w:rPr>
        <w:t xml:space="preserve">Each year hospitals invest millions of dollars in training California’s next generation of health care </w:t>
      </w:r>
      <w:proofErr w:type="gramStart"/>
      <w:r w:rsidRPr="005E43A4">
        <w:rPr>
          <w:rFonts w:ascii="Seaford" w:hAnsi="Seaford"/>
          <w:sz w:val="22"/>
          <w:szCs w:val="22"/>
        </w:rPr>
        <w:t>providers</w:t>
      </w:r>
      <w:r w:rsidR="00E9073F">
        <w:rPr>
          <w:rFonts w:ascii="Seaford" w:hAnsi="Seaford"/>
          <w:sz w:val="22"/>
          <w:szCs w:val="22"/>
        </w:rPr>
        <w:t>,</w:t>
      </w:r>
      <w:r w:rsidRPr="005E43A4">
        <w:rPr>
          <w:rFonts w:ascii="Seaford" w:hAnsi="Seaford"/>
          <w:sz w:val="22"/>
          <w:szCs w:val="22"/>
        </w:rPr>
        <w:t xml:space="preserve"> but</w:t>
      </w:r>
      <w:proofErr w:type="gramEnd"/>
      <w:r w:rsidRPr="005E43A4">
        <w:rPr>
          <w:rFonts w:ascii="Seaford" w:hAnsi="Seaford"/>
          <w:sz w:val="22"/>
          <w:szCs w:val="22"/>
        </w:rPr>
        <w:t xml:space="preserve"> closing the massive gaps ahead will require additional long- and short-term solutions. The pandemic has delayed education and training for thousands of new health care workers and slowed the already insufficient pipeline of those who would care for Californians now and into the future. A shortage of student openings in nursing and medical school programs has created enormous barriers to entry into the health care workforce, and outdated licensure requirements make it difficult for California to recruit nurses from other states. </w:t>
      </w:r>
    </w:p>
    <w:p w:rsidR="00316C27" w:rsidRDefault="00316C27" w14:paraId="2540870E" w14:textId="77777777">
      <w:pPr>
        <w:rPr>
          <w:rFonts w:ascii="Seaford" w:hAnsi="Seaford"/>
          <w:sz w:val="22"/>
          <w:szCs w:val="22"/>
        </w:rPr>
      </w:pPr>
    </w:p>
    <w:p w:rsidR="008002D5" w:rsidRDefault="00253467" w14:paraId="199EAFFD" w14:textId="0DD0BB07">
      <w:pPr>
        <w:rPr>
          <w:rFonts w:ascii="Seaford" w:hAnsi="Seaford" w:cs="Arial"/>
          <w:sz w:val="22"/>
          <w:szCs w:val="22"/>
        </w:rPr>
      </w:pPr>
      <w:r>
        <w:rPr>
          <w:rFonts w:ascii="Seaford" w:hAnsi="Seaford"/>
          <w:sz w:val="22"/>
          <w:szCs w:val="22"/>
        </w:rPr>
        <w:t>We applaud G</w:t>
      </w:r>
      <w:r w:rsidRPr="005E43A4" w:rsidR="005E43A4">
        <w:rPr>
          <w:rFonts w:ascii="Seaford" w:hAnsi="Seaford"/>
          <w:sz w:val="22"/>
          <w:szCs w:val="22"/>
        </w:rPr>
        <w:t>ov</w:t>
      </w:r>
      <w:r w:rsidR="00562165">
        <w:rPr>
          <w:rFonts w:ascii="Seaford" w:hAnsi="Seaford"/>
          <w:sz w:val="22"/>
          <w:szCs w:val="22"/>
        </w:rPr>
        <w:t>ernor</w:t>
      </w:r>
      <w:r w:rsidRPr="005E43A4" w:rsidR="005E43A4">
        <w:rPr>
          <w:rFonts w:ascii="Seaford" w:hAnsi="Seaford"/>
          <w:sz w:val="22"/>
          <w:szCs w:val="22"/>
        </w:rPr>
        <w:t xml:space="preserve"> Newsom’s proposal </w:t>
      </w:r>
      <w:r w:rsidR="008F4A8A">
        <w:rPr>
          <w:rFonts w:ascii="Seaford" w:hAnsi="Seaford"/>
          <w:sz w:val="22"/>
          <w:szCs w:val="22"/>
        </w:rPr>
        <w:t xml:space="preserve">for Investment in the Care Economy Workforce </w:t>
      </w:r>
      <w:r w:rsidRPr="005E43A4" w:rsidR="005E43A4">
        <w:rPr>
          <w:rFonts w:ascii="Seaford" w:hAnsi="Seaford"/>
          <w:sz w:val="22"/>
          <w:szCs w:val="22"/>
        </w:rPr>
        <w:t xml:space="preserve">of $1.7 billion over three fiscal years, and in particular the </w:t>
      </w:r>
      <w:r>
        <w:rPr>
          <w:rFonts w:ascii="Seaford" w:hAnsi="Seaford"/>
          <w:sz w:val="22"/>
          <w:szCs w:val="22"/>
        </w:rPr>
        <w:t>proposed funding of</w:t>
      </w:r>
      <w:r w:rsidRPr="005E43A4" w:rsidR="005E43A4">
        <w:rPr>
          <w:rFonts w:ascii="Seaford" w:hAnsi="Seaford"/>
          <w:sz w:val="22"/>
          <w:szCs w:val="22"/>
        </w:rPr>
        <w:t xml:space="preserve"> incentives for increasing the state’s nurses, social workers, emergency medical technicians, and behavioral and community health workers</w:t>
      </w:r>
      <w:r w:rsidRPr="005E43A4" w:rsidR="004D3190">
        <w:rPr>
          <w:rFonts w:ascii="Seaford" w:hAnsi="Seaford" w:cs="Arial"/>
          <w:sz w:val="22"/>
          <w:szCs w:val="22"/>
        </w:rPr>
        <w:t xml:space="preserve">. </w:t>
      </w:r>
    </w:p>
    <w:p w:rsidR="00466B9B" w:rsidRDefault="00466B9B" w14:paraId="1AF3F41A" w14:textId="1BE84C95">
      <w:pPr>
        <w:rPr>
          <w:rFonts w:ascii="Seaford" w:hAnsi="Seaford" w:cs="Arial"/>
          <w:sz w:val="22"/>
          <w:szCs w:val="22"/>
        </w:rPr>
      </w:pPr>
    </w:p>
    <w:p w:rsidR="00466B9B" w:rsidRDefault="00253467" w14:paraId="39CEC061" w14:textId="6AFDE85E">
      <w:pPr>
        <w:rPr>
          <w:rFonts w:ascii="Seaford" w:hAnsi="Seaford" w:cs="Arial"/>
          <w:sz w:val="22"/>
          <w:szCs w:val="22"/>
        </w:rPr>
      </w:pPr>
      <w:r w:rsidRPr="00253467">
        <w:rPr>
          <w:rFonts w:ascii="Seaford" w:hAnsi="Seaford" w:cs="Arial"/>
          <w:sz w:val="22"/>
          <w:szCs w:val="22"/>
          <w:highlight w:val="yellow"/>
        </w:rPr>
        <w:t>HOSPITAL NAME</w:t>
      </w:r>
      <w:r>
        <w:rPr>
          <w:rFonts w:ascii="Seaford" w:hAnsi="Seaford" w:cs="Arial"/>
          <w:sz w:val="22"/>
          <w:szCs w:val="22"/>
        </w:rPr>
        <w:t xml:space="preserve"> appreciates these </w:t>
      </w:r>
      <w:r w:rsidR="00F941A8">
        <w:rPr>
          <w:rFonts w:ascii="Seaford" w:hAnsi="Seaford" w:cs="Arial"/>
          <w:sz w:val="22"/>
          <w:szCs w:val="22"/>
        </w:rPr>
        <w:t xml:space="preserve">important </w:t>
      </w:r>
      <w:r w:rsidR="00E9073F">
        <w:rPr>
          <w:rFonts w:ascii="Seaford" w:hAnsi="Seaford" w:cs="Arial"/>
          <w:sz w:val="22"/>
          <w:szCs w:val="22"/>
        </w:rPr>
        <w:t xml:space="preserve">budget </w:t>
      </w:r>
      <w:r>
        <w:rPr>
          <w:rFonts w:ascii="Seaford" w:hAnsi="Seaford" w:cs="Arial"/>
          <w:sz w:val="22"/>
          <w:szCs w:val="22"/>
        </w:rPr>
        <w:t xml:space="preserve">proposals for their potential to </w:t>
      </w:r>
      <w:r w:rsidR="00E9073F">
        <w:rPr>
          <w:rFonts w:ascii="Seaford" w:hAnsi="Seaford" w:cs="Arial"/>
          <w:sz w:val="22"/>
          <w:szCs w:val="22"/>
        </w:rPr>
        <w:t>ensure all Californians have access to the health care they deserve</w:t>
      </w:r>
      <w:r>
        <w:rPr>
          <w:rFonts w:ascii="Seaford" w:hAnsi="Seaford" w:cs="Arial"/>
          <w:sz w:val="22"/>
          <w:szCs w:val="22"/>
        </w:rPr>
        <w:t>. We urge you to support them.</w:t>
      </w:r>
    </w:p>
    <w:p w:rsidR="00466B9B" w:rsidRDefault="00466B9B" w14:paraId="02AA3A7D" w14:textId="57927379">
      <w:pPr>
        <w:rPr>
          <w:rFonts w:ascii="Seaford" w:hAnsi="Seaford" w:cs="Arial"/>
          <w:sz w:val="22"/>
          <w:szCs w:val="22"/>
        </w:rPr>
      </w:pPr>
    </w:p>
    <w:p w:rsidR="00466B9B" w:rsidRDefault="00466B9B" w14:paraId="2864CD4A" w14:textId="3FBA7B91">
      <w:pPr>
        <w:rPr>
          <w:rFonts w:ascii="Seaford" w:hAnsi="Seaford" w:cs="Arial"/>
          <w:sz w:val="22"/>
          <w:szCs w:val="22"/>
        </w:rPr>
      </w:pPr>
      <w:r>
        <w:rPr>
          <w:rFonts w:ascii="Seaford" w:hAnsi="Seaford" w:cs="Arial"/>
          <w:sz w:val="22"/>
          <w:szCs w:val="22"/>
        </w:rPr>
        <w:t>Sincerely,</w:t>
      </w:r>
    </w:p>
    <w:p w:rsidR="00466B9B" w:rsidRDefault="00466B9B" w14:paraId="70233D11" w14:textId="12EABBC0">
      <w:pPr>
        <w:rPr>
          <w:rFonts w:ascii="Seaford" w:hAnsi="Seaford" w:cs="Arial"/>
          <w:sz w:val="22"/>
          <w:szCs w:val="22"/>
        </w:rPr>
      </w:pPr>
    </w:p>
    <w:p w:rsidR="00466B9B" w:rsidRDefault="00466B9B" w14:paraId="523170EB" w14:textId="4DC5BBBD">
      <w:pPr>
        <w:rPr>
          <w:rFonts w:ascii="Seaford" w:hAnsi="Seaford" w:cs="Arial"/>
          <w:sz w:val="22"/>
          <w:szCs w:val="22"/>
        </w:rPr>
      </w:pPr>
    </w:p>
    <w:p w:rsidR="00466B9B" w:rsidRDefault="00466B9B" w14:paraId="35C02FBB" w14:textId="4141FB3E">
      <w:pPr>
        <w:rPr>
          <w:rFonts w:ascii="Seaford" w:hAnsi="Seaford" w:cs="Arial"/>
          <w:sz w:val="22"/>
          <w:szCs w:val="22"/>
        </w:rPr>
      </w:pPr>
      <w:r>
        <w:rPr>
          <w:rFonts w:ascii="Seaford" w:hAnsi="Seaford" w:cs="Arial"/>
          <w:sz w:val="22"/>
          <w:szCs w:val="22"/>
        </w:rPr>
        <w:t>Name</w:t>
      </w:r>
    </w:p>
    <w:p w:rsidR="00466B9B" w:rsidRDefault="00466B9B" w14:paraId="1B506174" w14:textId="6C4129A4">
      <w:pPr>
        <w:rPr>
          <w:rFonts w:ascii="Seaford" w:hAnsi="Seaford" w:cs="Arial"/>
          <w:sz w:val="22"/>
          <w:szCs w:val="22"/>
        </w:rPr>
      </w:pPr>
      <w:r>
        <w:rPr>
          <w:rFonts w:ascii="Seaford" w:hAnsi="Seaford" w:cs="Arial"/>
          <w:sz w:val="22"/>
          <w:szCs w:val="22"/>
        </w:rPr>
        <w:t>Title</w:t>
      </w:r>
    </w:p>
    <w:p w:rsidR="00466B9B" w:rsidRDefault="00466B9B" w14:paraId="1AE76BD2" w14:textId="3B2018DA">
      <w:pPr>
        <w:rPr>
          <w:rFonts w:ascii="Seaford" w:hAnsi="Seaford" w:cs="Arial"/>
          <w:sz w:val="22"/>
          <w:szCs w:val="22"/>
        </w:rPr>
      </w:pPr>
    </w:p>
    <w:p w:rsidR="00624C4E" w:rsidP="208F86FA" w:rsidRDefault="00624C4E" w14:paraId="11036558" w14:textId="12EDC4A9">
      <w:pPr>
        <w:pStyle w:val="Normal"/>
        <w:ind w:firstLine="0"/>
        <w:rPr>
          <w:rFonts w:ascii="Seaford" w:hAnsi="Seaford" w:eastAsia="Seaford" w:cs="Seaford"/>
          <w:noProof w:val="0"/>
          <w:color w:val="000000" w:themeColor="text1" w:themeTint="FF" w:themeShade="FF"/>
          <w:sz w:val="22"/>
          <w:szCs w:val="22"/>
          <w:lang w:val="en-US"/>
        </w:rPr>
      </w:pPr>
      <w:r w:rsidRPr="208F86FA" w:rsidR="00624C4E">
        <w:rPr>
          <w:rFonts w:ascii="Seaford" w:hAnsi="Seaford" w:eastAsia="Seaford" w:cs="Seaford"/>
          <w:sz w:val="22"/>
          <w:szCs w:val="22"/>
        </w:rPr>
        <w:t>Cc:</w:t>
      </w:r>
      <w:r>
        <w:tab/>
      </w:r>
      <w:r w:rsidRPr="208F86FA" w:rsidR="208F86FA">
        <w:rPr>
          <w:rFonts w:ascii="Seaford" w:hAnsi="Seaford" w:eastAsia="Seaford" w:cs="Seaford"/>
          <w:noProof w:val="0"/>
          <w:color w:val="000000" w:themeColor="text1" w:themeTint="FF" w:themeShade="FF"/>
          <w:sz w:val="22"/>
          <w:szCs w:val="22"/>
          <w:lang w:val="en-US"/>
        </w:rPr>
        <w:t xml:space="preserve">Members, Senate Budget Subcommittee No. 3 </w:t>
      </w:r>
    </w:p>
    <w:p w:rsidR="208F86FA" w:rsidP="208F86FA" w:rsidRDefault="208F86FA" w14:paraId="1F3D1F62" w14:textId="2DA7D332">
      <w:pPr>
        <w:ind w:firstLine="720"/>
        <w:rPr>
          <w:rFonts w:ascii="Seaford" w:hAnsi="Seaford" w:eastAsia="Seaford" w:cs="Seaford"/>
          <w:noProof w:val="0"/>
          <w:color w:val="000000" w:themeColor="text1" w:themeTint="FF" w:themeShade="FF"/>
          <w:sz w:val="22"/>
          <w:szCs w:val="22"/>
          <w:lang w:val="en-US"/>
        </w:rPr>
      </w:pPr>
      <w:r w:rsidRPr="208F86FA" w:rsidR="208F86FA">
        <w:rPr>
          <w:rFonts w:ascii="Seaford" w:hAnsi="Seaford" w:eastAsia="Seaford" w:cs="Seaford"/>
          <w:noProof w:val="0"/>
          <w:color w:val="000000" w:themeColor="text1" w:themeTint="FF" w:themeShade="FF"/>
          <w:sz w:val="22"/>
          <w:szCs w:val="22"/>
          <w:lang w:val="en-US"/>
        </w:rPr>
        <w:t xml:space="preserve">Scott Ogus, Consultant, Senate Budget Subcommittee No. 3 </w:t>
      </w:r>
    </w:p>
    <w:p w:rsidR="208F86FA" w:rsidP="208F86FA" w:rsidRDefault="208F86FA" w14:paraId="7BB25D42" w14:textId="13C7DD31">
      <w:pPr>
        <w:ind w:firstLine="720"/>
        <w:rPr>
          <w:rFonts w:ascii="Seaford" w:hAnsi="Seaford" w:eastAsia="Seaford" w:cs="Seaford"/>
          <w:noProof w:val="0"/>
          <w:color w:val="000000" w:themeColor="text1" w:themeTint="FF" w:themeShade="FF"/>
          <w:sz w:val="22"/>
          <w:szCs w:val="22"/>
          <w:lang w:val="en-US"/>
        </w:rPr>
      </w:pPr>
      <w:r w:rsidRPr="208F86FA" w:rsidR="208F86FA">
        <w:rPr>
          <w:rFonts w:ascii="Seaford" w:hAnsi="Seaford" w:eastAsia="Seaford" w:cs="Seaford"/>
          <w:noProof w:val="0"/>
          <w:color w:val="000000" w:themeColor="text1" w:themeTint="FF" w:themeShade="FF"/>
          <w:sz w:val="22"/>
          <w:szCs w:val="22"/>
          <w:lang w:val="en-US"/>
        </w:rPr>
        <w:t xml:space="preserve">Anthony Archie, Senate Republican Caucus </w:t>
      </w:r>
    </w:p>
    <w:p w:rsidR="208F86FA" w:rsidP="208F86FA" w:rsidRDefault="208F86FA" w14:paraId="4BA2867F" w14:textId="676E1EF5">
      <w:pPr>
        <w:ind w:firstLine="720"/>
        <w:rPr>
          <w:rFonts w:ascii="Seaford" w:hAnsi="Seaford" w:eastAsia="Seaford" w:cs="Seaford"/>
          <w:noProof w:val="0"/>
          <w:color w:val="000000" w:themeColor="text1" w:themeTint="FF" w:themeShade="FF"/>
          <w:sz w:val="22"/>
          <w:szCs w:val="22"/>
          <w:lang w:val="en-US"/>
        </w:rPr>
      </w:pPr>
      <w:r w:rsidRPr="208F86FA" w:rsidR="208F86FA">
        <w:rPr>
          <w:rFonts w:ascii="Seaford" w:hAnsi="Seaford" w:eastAsia="Seaford" w:cs="Seaford"/>
          <w:noProof w:val="0"/>
          <w:color w:val="000000" w:themeColor="text1" w:themeTint="FF" w:themeShade="FF"/>
          <w:sz w:val="22"/>
          <w:szCs w:val="22"/>
          <w:lang w:val="en-US"/>
        </w:rPr>
        <w:t xml:space="preserve">Dr. Mark Ghaly, Secretary, Health and Human Services Agency </w:t>
      </w:r>
    </w:p>
    <w:p w:rsidR="208F86FA" w:rsidP="208F86FA" w:rsidRDefault="208F86FA" w14:paraId="4D926552" w14:textId="033AE5A9">
      <w:pPr>
        <w:ind w:firstLine="720"/>
        <w:rPr>
          <w:rFonts w:ascii="Seaford" w:hAnsi="Seaford" w:eastAsia="Seaford" w:cs="Seaford"/>
          <w:noProof w:val="0"/>
          <w:color w:val="000000" w:themeColor="text1" w:themeTint="FF" w:themeShade="FF"/>
          <w:sz w:val="22"/>
          <w:szCs w:val="22"/>
          <w:lang w:val="en-US"/>
        </w:rPr>
      </w:pPr>
      <w:r w:rsidRPr="208F86FA" w:rsidR="208F86FA">
        <w:rPr>
          <w:rFonts w:ascii="Seaford" w:hAnsi="Seaford" w:eastAsia="Seaford" w:cs="Seaford"/>
          <w:noProof w:val="0"/>
          <w:color w:val="000000" w:themeColor="text1" w:themeTint="FF" w:themeShade="FF"/>
          <w:sz w:val="22"/>
          <w:szCs w:val="22"/>
          <w:lang w:val="en-US"/>
        </w:rPr>
        <w:t xml:space="preserve">Richard Figueroa, Deputy Cabinet Secretary, Office of the Governor </w:t>
      </w:r>
    </w:p>
    <w:p w:rsidR="208F86FA" w:rsidP="208F86FA" w:rsidRDefault="208F86FA" w14:paraId="01777A30" w14:textId="53824869">
      <w:pPr>
        <w:ind w:firstLine="720"/>
        <w:rPr>
          <w:rFonts w:ascii="Seaford" w:hAnsi="Seaford" w:eastAsia="Seaford" w:cs="Seaford"/>
          <w:noProof w:val="0"/>
          <w:color w:val="000000" w:themeColor="text1" w:themeTint="FF" w:themeShade="FF"/>
          <w:sz w:val="22"/>
          <w:szCs w:val="22"/>
          <w:lang w:val="en-US"/>
        </w:rPr>
      </w:pPr>
      <w:r w:rsidRPr="208F86FA" w:rsidR="208F86FA">
        <w:rPr>
          <w:rFonts w:ascii="Seaford" w:hAnsi="Seaford" w:eastAsia="Seaford" w:cs="Seaford"/>
          <w:noProof w:val="0"/>
          <w:color w:val="000000" w:themeColor="text1" w:themeTint="FF" w:themeShade="FF"/>
          <w:sz w:val="22"/>
          <w:szCs w:val="22"/>
          <w:lang w:val="en-US"/>
        </w:rPr>
        <w:t>Tam Ma, Deputy Legislative Secretary, Office of the Governor</w:t>
      </w:r>
    </w:p>
    <w:p w:rsidR="208F86FA" w:rsidP="208F86FA" w:rsidRDefault="208F86FA" w14:paraId="0905B08E" w14:textId="16122619">
      <w:pPr>
        <w:ind w:firstLine="720"/>
        <w:rPr>
          <w:rFonts w:ascii="Seaford" w:hAnsi="Seaford" w:eastAsia="Seaford" w:cs="Seaford"/>
          <w:noProof w:val="0"/>
          <w:color w:val="000000" w:themeColor="text1" w:themeTint="FF" w:themeShade="FF"/>
          <w:sz w:val="22"/>
          <w:szCs w:val="22"/>
          <w:lang w:val="en-US"/>
        </w:rPr>
      </w:pPr>
      <w:r w:rsidRPr="208F86FA" w:rsidR="208F86FA">
        <w:rPr>
          <w:rFonts w:ascii="Seaford" w:hAnsi="Seaford" w:eastAsia="Seaford" w:cs="Seaford"/>
          <w:noProof w:val="0"/>
          <w:color w:val="000000" w:themeColor="text1" w:themeTint="FF" w:themeShade="FF"/>
          <w:sz w:val="22"/>
          <w:szCs w:val="22"/>
          <w:lang w:val="en-US"/>
        </w:rPr>
        <w:t>Michelle Baass, Director, Department of Health Care Services</w:t>
      </w:r>
    </w:p>
    <w:p w:rsidR="208F86FA" w:rsidP="208F86FA" w:rsidRDefault="208F86FA" w14:paraId="4A524226" w14:textId="3832BC54">
      <w:pPr>
        <w:pStyle w:val="Default"/>
        <w:rPr>
          <w:rFonts w:ascii="Seaford" w:hAnsi="Seaford" w:eastAsia="Calibri" w:cs="Calibri"/>
          <w:color w:val="000000" w:themeColor="text1" w:themeTint="FF" w:themeShade="FF"/>
          <w:sz w:val="24"/>
          <w:szCs w:val="24"/>
        </w:rPr>
      </w:pPr>
    </w:p>
    <w:sectPr w:rsidRPr="00624C4E" w:rsidR="00624C4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ford">
    <w:altName w:val="Seaford"/>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7C8"/>
    <w:multiLevelType w:val="hybridMultilevel"/>
    <w:tmpl w:val="7C9C14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5C2054"/>
    <w:multiLevelType w:val="hybridMultilevel"/>
    <w:tmpl w:val="D71E2E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A7122C6"/>
    <w:multiLevelType w:val="hybridMultilevel"/>
    <w:tmpl w:val="5BF6586E"/>
    <w:lvl w:ilvl="0" w:tplc="AD029B2C">
      <w:start w:val="1"/>
      <w:numFmt w:val="bullet"/>
      <w:lvlText w:val=""/>
      <w:lvlJc w:val="left"/>
      <w:pPr>
        <w:ind w:left="1440" w:hanging="720"/>
      </w:pPr>
      <w:rPr>
        <w:rFonts w:hint="default" w:ascii="Symbol" w:hAnsi="Symbol" w:eastAsia="Seaford" w:cs="Seaford"/>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1068381713">
    <w:abstractNumId w:val="0"/>
  </w:num>
  <w:num w:numId="2" w16cid:durableId="563682960">
    <w:abstractNumId w:val="2"/>
  </w:num>
  <w:num w:numId="3" w16cid:durableId="960113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90"/>
    <w:rsid w:val="00030494"/>
    <w:rsid w:val="00163F33"/>
    <w:rsid w:val="00190DAE"/>
    <w:rsid w:val="001943F3"/>
    <w:rsid w:val="001E1307"/>
    <w:rsid w:val="00202011"/>
    <w:rsid w:val="00253467"/>
    <w:rsid w:val="002F3F99"/>
    <w:rsid w:val="00316C27"/>
    <w:rsid w:val="00466B9B"/>
    <w:rsid w:val="004D3190"/>
    <w:rsid w:val="00513DE9"/>
    <w:rsid w:val="00562165"/>
    <w:rsid w:val="005D0E42"/>
    <w:rsid w:val="005D24FE"/>
    <w:rsid w:val="005E43A4"/>
    <w:rsid w:val="00624C4E"/>
    <w:rsid w:val="0066234F"/>
    <w:rsid w:val="007444BA"/>
    <w:rsid w:val="008002D5"/>
    <w:rsid w:val="008F4A8A"/>
    <w:rsid w:val="009335C1"/>
    <w:rsid w:val="009C0781"/>
    <w:rsid w:val="00BF6443"/>
    <w:rsid w:val="00E9073F"/>
    <w:rsid w:val="00F272F6"/>
    <w:rsid w:val="00F941A8"/>
    <w:rsid w:val="0F2F6FC9"/>
    <w:rsid w:val="208F8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73E3"/>
  <w15:chartTrackingRefBased/>
  <w15:docId w15:val="{0B5695D5-95A7-4265-BBF4-B63C8B79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aford" w:hAnsi="Seaford"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3190"/>
    <w:pPr>
      <w:spacing w:after="0" w:line="240" w:lineRule="auto"/>
    </w:pPr>
    <w:rPr>
      <w:rFonts w:ascii="Times New Roman" w:hAnsi="Times New Roman" w:eastAsia="Times New Roman" w:cs="Times New Roman"/>
      <w:kern w:val="0"/>
      <w:sz w:val="24"/>
      <w:szCs w:val="2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4D3190"/>
  </w:style>
  <w:style w:type="paragraph" w:styleId="ListParagraph">
    <w:name w:val="List Paragraph"/>
    <w:basedOn w:val="Normal"/>
    <w:uiPriority w:val="34"/>
    <w:qFormat/>
    <w:rsid w:val="004D3190"/>
    <w:pPr>
      <w:ind w:left="720"/>
      <w:contextualSpacing/>
    </w:pPr>
  </w:style>
  <w:style w:type="paragraph" w:styleId="Revision">
    <w:name w:val="Revision"/>
    <w:hidden/>
    <w:uiPriority w:val="99"/>
    <w:semiHidden/>
    <w:rsid w:val="008F4A8A"/>
    <w:pPr>
      <w:spacing w:after="0" w:line="240" w:lineRule="auto"/>
    </w:pPr>
    <w:rPr>
      <w:rFonts w:ascii="Times New Roman" w:hAnsi="Times New Roman" w:eastAsia="Times New Roman" w:cs="Times New Roman"/>
      <w:kern w:val="0"/>
      <w:sz w:val="24"/>
      <w:szCs w:val="20"/>
      <w14:ligatures w14:val="none"/>
    </w:rPr>
  </w:style>
  <w:style w:type="character" w:styleId="CommentReference">
    <w:name w:val="annotation reference"/>
    <w:basedOn w:val="DefaultParagraphFont"/>
    <w:uiPriority w:val="99"/>
    <w:semiHidden/>
    <w:unhideWhenUsed/>
    <w:rsid w:val="008F4A8A"/>
    <w:rPr>
      <w:sz w:val="16"/>
      <w:szCs w:val="16"/>
    </w:rPr>
  </w:style>
  <w:style w:type="paragraph" w:styleId="CommentText">
    <w:name w:val="annotation text"/>
    <w:basedOn w:val="Normal"/>
    <w:link w:val="CommentTextChar"/>
    <w:uiPriority w:val="99"/>
    <w:unhideWhenUsed/>
    <w:rsid w:val="008F4A8A"/>
    <w:rPr>
      <w:sz w:val="20"/>
    </w:rPr>
  </w:style>
  <w:style w:type="character" w:styleId="CommentTextChar" w:customStyle="1">
    <w:name w:val="Comment Text Char"/>
    <w:basedOn w:val="DefaultParagraphFont"/>
    <w:link w:val="CommentText"/>
    <w:uiPriority w:val="99"/>
    <w:rsid w:val="008F4A8A"/>
    <w:rPr>
      <w:rFonts w:ascii="Times New Roman" w:hAnsi="Times New Roman" w:eastAsia="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F4A8A"/>
    <w:rPr>
      <w:b/>
      <w:bCs/>
    </w:rPr>
  </w:style>
  <w:style w:type="character" w:styleId="CommentSubjectChar" w:customStyle="1">
    <w:name w:val="Comment Subject Char"/>
    <w:basedOn w:val="CommentTextChar"/>
    <w:link w:val="CommentSubject"/>
    <w:uiPriority w:val="99"/>
    <w:semiHidden/>
    <w:rsid w:val="008F4A8A"/>
    <w:rPr>
      <w:rFonts w:ascii="Times New Roman" w:hAnsi="Times New Roman" w:eastAsia="Times New Roman" w:cs="Times New Roman"/>
      <w:b/>
      <w:bCs/>
      <w:kern w:val="0"/>
      <w:sz w:val="20"/>
      <w:szCs w:val="20"/>
      <w14:ligatures w14:val="none"/>
    </w:rPr>
  </w:style>
  <w:style w:type="character" w:styleId="cf01" w:customStyle="1">
    <w:name w:val="cf01"/>
    <w:basedOn w:val="DefaultParagraphFont"/>
    <w:rsid w:val="007444BA"/>
    <w:rPr>
      <w:rFonts w:hint="default" w:ascii="Segoe UI" w:hAnsi="Segoe UI" w:cs="Segoe UI"/>
      <w:sz w:val="18"/>
      <w:szCs w:val="18"/>
    </w:rPr>
  </w:style>
  <w:style w:type="character" w:styleId="cf11" w:customStyle="1">
    <w:name w:val="cf11"/>
    <w:basedOn w:val="DefaultParagraphFont"/>
    <w:rsid w:val="007444BA"/>
    <w:rPr>
      <w:rFonts w:hint="default" w:ascii="Segoe UI" w:hAnsi="Segoe UI" w:cs="Segoe UI"/>
      <w:sz w:val="18"/>
      <w:szCs w:val="18"/>
    </w:rPr>
  </w:style>
  <w:style w:type="character" w:styleId="cf21" w:customStyle="1">
    <w:name w:val="cf21"/>
    <w:basedOn w:val="DefaultParagraphFont"/>
    <w:rsid w:val="007444BA"/>
    <w:rPr>
      <w:rFonts w:hint="default" w:ascii="Segoe UI" w:hAnsi="Segoe UI" w:cs="Segoe UI"/>
      <w:color w:val="0462C1"/>
      <w:sz w:val="18"/>
      <w:szCs w:val="18"/>
    </w:rPr>
  </w:style>
  <w:style w:type="character" w:styleId="Hyperlink">
    <w:name w:val="Hyperlink"/>
    <w:basedOn w:val="DefaultParagraphFont"/>
    <w:uiPriority w:val="99"/>
    <w:unhideWhenUsed/>
    <w:rsid w:val="007444BA"/>
    <w:rPr>
      <w:color w:val="0563C1" w:themeColor="hyperlink"/>
      <w:u w:val="single"/>
    </w:rPr>
  </w:style>
  <w:style w:type="character" w:styleId="UnresolvedMention">
    <w:name w:val="Unresolved Mention"/>
    <w:basedOn w:val="DefaultParagraphFont"/>
    <w:uiPriority w:val="99"/>
    <w:semiHidden/>
    <w:unhideWhenUsed/>
    <w:rsid w:val="007444BA"/>
    <w:rPr>
      <w:color w:val="605E5C"/>
      <w:shd w:val="clear" w:color="auto" w:fill="E1DFDD"/>
    </w:rPr>
  </w:style>
  <w:style w:type="paragraph" w:styleId="paragraph" w:customStyle="1">
    <w:name w:val="paragraph"/>
    <w:basedOn w:val="Normal"/>
    <w:rsid w:val="00513DE9"/>
    <w:pPr>
      <w:spacing w:before="100" w:beforeAutospacing="1" w:after="100" w:afterAutospacing="1"/>
    </w:pPr>
    <w:rPr>
      <w:szCs w:val="24"/>
    </w:rPr>
  </w:style>
  <w:style w:type="character" w:styleId="eop" w:customStyle="1">
    <w:name w:val="eop"/>
    <w:basedOn w:val="DefaultParagraphFont"/>
    <w:rsid w:val="00513DE9"/>
  </w:style>
  <w:style w:type="paragraph" w:styleId="Default" w:customStyle="1">
    <w:name w:val="Default"/>
    <w:basedOn w:val="Normal"/>
    <w:rsid w:val="00624C4E"/>
    <w:pPr>
      <w:autoSpaceDE w:val="0"/>
      <w:autoSpaceDN w:val="0"/>
    </w:pPr>
    <w:rPr>
      <w:rFonts w:ascii="Seaford" w:hAnsi="Seaford" w:cs="Calibri"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76085">
      <w:bodyDiv w:val="1"/>
      <w:marLeft w:val="0"/>
      <w:marRight w:val="0"/>
      <w:marTop w:val="0"/>
      <w:marBottom w:val="0"/>
      <w:divBdr>
        <w:top w:val="none" w:sz="0" w:space="0" w:color="auto"/>
        <w:left w:val="none" w:sz="0" w:space="0" w:color="auto"/>
        <w:bottom w:val="none" w:sz="0" w:space="0" w:color="auto"/>
        <w:right w:val="none" w:sz="0" w:space="0" w:color="auto"/>
      </w:divBdr>
    </w:div>
    <w:div w:id="824132029">
      <w:bodyDiv w:val="1"/>
      <w:marLeft w:val="0"/>
      <w:marRight w:val="0"/>
      <w:marTop w:val="0"/>
      <w:marBottom w:val="0"/>
      <w:divBdr>
        <w:top w:val="none" w:sz="0" w:space="0" w:color="auto"/>
        <w:left w:val="none" w:sz="0" w:space="0" w:color="auto"/>
        <w:bottom w:val="none" w:sz="0" w:space="0" w:color="auto"/>
        <w:right w:val="none" w:sz="0" w:space="0" w:color="auto"/>
      </w:divBdr>
    </w:div>
    <w:div w:id="1221088814">
      <w:bodyDiv w:val="1"/>
      <w:marLeft w:val="0"/>
      <w:marRight w:val="0"/>
      <w:marTop w:val="0"/>
      <w:marBottom w:val="0"/>
      <w:divBdr>
        <w:top w:val="none" w:sz="0" w:space="0" w:color="auto"/>
        <w:left w:val="none" w:sz="0" w:space="0" w:color="auto"/>
        <w:bottom w:val="none" w:sz="0" w:space="0" w:color="auto"/>
        <w:right w:val="none" w:sz="0" w:space="0" w:color="auto"/>
      </w:divBdr>
      <w:divsChild>
        <w:div w:id="228662399">
          <w:marLeft w:val="0"/>
          <w:marRight w:val="0"/>
          <w:marTop w:val="0"/>
          <w:marBottom w:val="0"/>
          <w:divBdr>
            <w:top w:val="none" w:sz="0" w:space="0" w:color="auto"/>
            <w:left w:val="none" w:sz="0" w:space="0" w:color="auto"/>
            <w:bottom w:val="none" w:sz="0" w:space="0" w:color="auto"/>
            <w:right w:val="none" w:sz="0" w:space="0" w:color="auto"/>
          </w:divBdr>
        </w:div>
        <w:div w:id="1407727858">
          <w:marLeft w:val="0"/>
          <w:marRight w:val="0"/>
          <w:marTop w:val="0"/>
          <w:marBottom w:val="0"/>
          <w:divBdr>
            <w:top w:val="none" w:sz="0" w:space="0" w:color="auto"/>
            <w:left w:val="none" w:sz="0" w:space="0" w:color="auto"/>
            <w:bottom w:val="none" w:sz="0" w:space="0" w:color="auto"/>
            <w:right w:val="none" w:sz="0" w:space="0" w:color="auto"/>
          </w:divBdr>
        </w:div>
        <w:div w:id="654065465">
          <w:marLeft w:val="0"/>
          <w:marRight w:val="0"/>
          <w:marTop w:val="0"/>
          <w:marBottom w:val="0"/>
          <w:divBdr>
            <w:top w:val="none" w:sz="0" w:space="0" w:color="auto"/>
            <w:left w:val="none" w:sz="0" w:space="0" w:color="auto"/>
            <w:bottom w:val="none" w:sz="0" w:space="0" w:color="auto"/>
            <w:right w:val="none" w:sz="0" w:space="0" w:color="auto"/>
          </w:divBdr>
        </w:div>
        <w:div w:id="32200135">
          <w:marLeft w:val="0"/>
          <w:marRight w:val="0"/>
          <w:marTop w:val="0"/>
          <w:marBottom w:val="0"/>
          <w:divBdr>
            <w:top w:val="none" w:sz="0" w:space="0" w:color="auto"/>
            <w:left w:val="none" w:sz="0" w:space="0" w:color="auto"/>
            <w:bottom w:val="none" w:sz="0" w:space="0" w:color="auto"/>
            <w:right w:val="none" w:sz="0" w:space="0" w:color="auto"/>
          </w:divBdr>
        </w:div>
      </w:divsChild>
    </w:div>
    <w:div w:id="1586719075">
      <w:bodyDiv w:val="1"/>
      <w:marLeft w:val="0"/>
      <w:marRight w:val="0"/>
      <w:marTop w:val="0"/>
      <w:marBottom w:val="0"/>
      <w:divBdr>
        <w:top w:val="none" w:sz="0" w:space="0" w:color="auto"/>
        <w:left w:val="none" w:sz="0" w:space="0" w:color="auto"/>
        <w:bottom w:val="none" w:sz="0" w:space="0" w:color="auto"/>
        <w:right w:val="none" w:sz="0" w:space="0" w:color="auto"/>
      </w:divBdr>
    </w:div>
    <w:div w:id="1665668765">
      <w:bodyDiv w:val="1"/>
      <w:marLeft w:val="0"/>
      <w:marRight w:val="0"/>
      <w:marTop w:val="0"/>
      <w:marBottom w:val="0"/>
      <w:divBdr>
        <w:top w:val="none" w:sz="0" w:space="0" w:color="auto"/>
        <w:left w:val="none" w:sz="0" w:space="0" w:color="auto"/>
        <w:bottom w:val="none" w:sz="0" w:space="0" w:color="auto"/>
        <w:right w:val="none" w:sz="0" w:space="0" w:color="auto"/>
      </w:divBdr>
    </w:div>
    <w:div w:id="1882134864">
      <w:bodyDiv w:val="1"/>
      <w:marLeft w:val="0"/>
      <w:marRight w:val="0"/>
      <w:marTop w:val="0"/>
      <w:marBottom w:val="0"/>
      <w:divBdr>
        <w:top w:val="none" w:sz="0" w:space="0" w:color="auto"/>
        <w:left w:val="none" w:sz="0" w:space="0" w:color="auto"/>
        <w:bottom w:val="none" w:sz="0" w:space="0" w:color="auto"/>
        <w:right w:val="none" w:sz="0" w:space="0" w:color="auto"/>
      </w:divBdr>
      <w:divsChild>
        <w:div w:id="639576915">
          <w:marLeft w:val="0"/>
          <w:marRight w:val="0"/>
          <w:marTop w:val="0"/>
          <w:marBottom w:val="0"/>
          <w:divBdr>
            <w:top w:val="none" w:sz="0" w:space="0" w:color="auto"/>
            <w:left w:val="none" w:sz="0" w:space="0" w:color="auto"/>
            <w:bottom w:val="none" w:sz="0" w:space="0" w:color="auto"/>
            <w:right w:val="none" w:sz="0" w:space="0" w:color="auto"/>
          </w:divBdr>
        </w:div>
        <w:div w:id="920678114">
          <w:marLeft w:val="0"/>
          <w:marRight w:val="0"/>
          <w:marTop w:val="0"/>
          <w:marBottom w:val="0"/>
          <w:divBdr>
            <w:top w:val="none" w:sz="0" w:space="0" w:color="auto"/>
            <w:left w:val="none" w:sz="0" w:space="0" w:color="auto"/>
            <w:bottom w:val="none" w:sz="0" w:space="0" w:color="auto"/>
            <w:right w:val="none" w:sz="0" w:space="0" w:color="auto"/>
          </w:divBdr>
        </w:div>
        <w:div w:id="260341491">
          <w:marLeft w:val="0"/>
          <w:marRight w:val="0"/>
          <w:marTop w:val="0"/>
          <w:marBottom w:val="0"/>
          <w:divBdr>
            <w:top w:val="none" w:sz="0" w:space="0" w:color="auto"/>
            <w:left w:val="none" w:sz="0" w:space="0" w:color="auto"/>
            <w:bottom w:val="none" w:sz="0" w:space="0" w:color="auto"/>
            <w:right w:val="none" w:sz="0" w:space="0" w:color="auto"/>
          </w:divBdr>
        </w:div>
        <w:div w:id="1681925949">
          <w:marLeft w:val="0"/>
          <w:marRight w:val="0"/>
          <w:marTop w:val="0"/>
          <w:marBottom w:val="0"/>
          <w:divBdr>
            <w:top w:val="none" w:sz="0" w:space="0" w:color="auto"/>
            <w:left w:val="none" w:sz="0" w:space="0" w:color="auto"/>
            <w:bottom w:val="none" w:sz="0" w:space="0" w:color="auto"/>
            <w:right w:val="none" w:sz="0" w:space="0" w:color="auto"/>
          </w:divBdr>
        </w:div>
      </w:divsChild>
    </w:div>
    <w:div w:id="19014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healthworkforce.ucsf.edu/sites/healthworkforce.ucsf.edu/files/Impact%20of%20the%20COVID-19%20Pandemic%20on%20California%E2%80%99s%20Registered%20Nurse%20Workforce%20-%20Preliminary%20Data.pdf"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6998AEF49B14C9162997A2C2FC277" ma:contentTypeVersion="18" ma:contentTypeDescription="Create a new document." ma:contentTypeScope="" ma:versionID="dc848a4dd4e51d3222a97eea77f63683">
  <xsd:schema xmlns:xsd="http://www.w3.org/2001/XMLSchema" xmlns:xs="http://www.w3.org/2001/XMLSchema" xmlns:p="http://schemas.microsoft.com/office/2006/metadata/properties" xmlns:ns2="eec1121c-cda9-4836-be94-b3e836ec7879" xmlns:ns3="74f1bc41-95bc-426d-befc-d768ff8af8f7" targetNamespace="http://schemas.microsoft.com/office/2006/metadata/properties" ma:root="true" ma:fieldsID="c2b8e8509123220664d6fffcd9f2240a" ns2:_="" ns3:_="">
    <xsd:import namespace="eec1121c-cda9-4836-be94-b3e836ec7879"/>
    <xsd:import namespace="74f1bc41-95bc-426d-befc-d768ff8af8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Status" minOccurs="0"/>
                <xsd:element ref="ns3:MediaLengthInSeconds" minOccurs="0"/>
                <xsd:element ref="ns3:Numbe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121c-cda9-4836-be94-b3e836ec7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111deb5-85fb-4757-822d-bf885682c216}" ma:internalName="TaxCatchAll" ma:showField="CatchAllData" ma:web="eec1121c-cda9-4836-be94-b3e836ec7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f1bc41-95bc-426d-befc-d768ff8af8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Draft" ma:format="Dropdown" ma:internalName="Status">
      <xsd:simpleType>
        <xsd:restriction base="dms:Choice">
          <xsd:enumeration value="Draft"/>
          <xsd:enumeration value="Final"/>
        </xsd:restriction>
      </xsd:simpleType>
    </xsd:element>
    <xsd:element name="MediaLengthInSeconds" ma:index="21" nillable="true" ma:displayName="Length (seconds)" ma:internalName="MediaLengthInSeconds" ma:readOnly="true">
      <xsd:simpleType>
        <xsd:restriction base="dms:Unknown"/>
      </xsd:simpleType>
    </xsd:element>
    <xsd:element name="Number" ma:index="22" nillable="true" ma:displayName="Number" ma:format="Dropdown" ma:internalName="Number"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2d16c8-d7a8-429d-8311-ece1885a54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f1bc41-95bc-426d-befc-d768ff8af8f7">
      <Terms xmlns="http://schemas.microsoft.com/office/infopath/2007/PartnerControls"/>
    </lcf76f155ced4ddcb4097134ff3c332f>
    <TaxCatchAll xmlns="eec1121c-cda9-4836-be94-b3e836ec7879" xsi:nil="true"/>
    <Status xmlns="74f1bc41-95bc-426d-befc-d768ff8af8f7">Draft</Status>
    <Number xmlns="74f1bc41-95bc-426d-befc-d768ff8af8f7" xsi:nil="true"/>
  </documentManagement>
</p:properties>
</file>

<file path=customXml/itemProps1.xml><?xml version="1.0" encoding="utf-8"?>
<ds:datastoreItem xmlns:ds="http://schemas.openxmlformats.org/officeDocument/2006/customXml" ds:itemID="{FCE3FBBB-4E0B-4A57-A161-B8460905F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121c-cda9-4836-be94-b3e836ec7879"/>
    <ds:schemaRef ds:uri="74f1bc41-95bc-426d-befc-d768ff8af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E84AB-C70A-476D-B04F-AA4DD031D616}">
  <ds:schemaRefs>
    <ds:schemaRef ds:uri="http://schemas.microsoft.com/sharepoint/v3/contenttype/forms"/>
  </ds:schemaRefs>
</ds:datastoreItem>
</file>

<file path=customXml/itemProps3.xml><?xml version="1.0" encoding="utf-8"?>
<ds:datastoreItem xmlns:ds="http://schemas.openxmlformats.org/officeDocument/2006/customXml" ds:itemID="{C4B8DB84-F8B4-4FE1-8F8C-20756713978F}">
  <ds:schemaRefs>
    <ds:schemaRef ds:uri="http://schemas.microsoft.com/office/2006/metadata/properties"/>
    <ds:schemaRef ds:uri="http://schemas.microsoft.com/office/infopath/2007/PartnerControls"/>
    <ds:schemaRef ds:uri="74f1bc41-95bc-426d-befc-d768ff8af8f7"/>
    <ds:schemaRef ds:uri="eec1121c-cda9-4836-be94-b3e836ec787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Allison Bradley</dc:creator>
  <keywords/>
  <dc:description/>
  <lastModifiedBy>Allison Bradley</lastModifiedBy>
  <revision>3</revision>
  <dcterms:created xsi:type="dcterms:W3CDTF">2022-04-25T17:19:00.0000000Z</dcterms:created>
  <dcterms:modified xsi:type="dcterms:W3CDTF">2022-04-26T16:49:07.5904299Z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0x01010092C6998AEF49B14C9162997A2C2FC277</vt:lpwstr>
  </property>
  <property fmtid="{D5CDD505-2E9C-101B-9397-08002B2CF9AE}" pid="3" name="TaxKeyword">
    <vt:lpwstr/>
  </property>
  <property fmtid="{D5CDD505-2E9C-101B-9397-08002B2CF9AE}" pid="4" name="MediaServiceImageTags">
    <vt:lpwstr/>
  </property>
</Properties>
</file>